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AFF0" w14:textId="77777777" w:rsidR="00CE5AFE" w:rsidRDefault="00CE5AFE">
      <w:pPr>
        <w:rPr>
          <w:rFonts w:ascii="Calibri" w:eastAsia="Calibri" w:hAnsi="Calibri" w:cs="Calibri"/>
          <w:color w:val="000000"/>
        </w:rPr>
      </w:pPr>
    </w:p>
    <w:p w14:paraId="752B4A53" w14:textId="77777777" w:rsidR="00CE5AFE" w:rsidRDefault="00404E0A">
      <w:pPr>
        <w:keepNext/>
        <w:keepLines/>
        <w:spacing w:before="40"/>
        <w:rPr>
          <w:rFonts w:ascii="Calibri" w:eastAsia="Calibri" w:hAnsi="Calibri" w:cs="Calibri"/>
          <w:color w:val="272727"/>
          <w:sz w:val="144"/>
          <w:szCs w:val="144"/>
        </w:rPr>
      </w:pPr>
      <w:r>
        <w:rPr>
          <w:noProof/>
        </w:rPr>
        <w:drawing>
          <wp:anchor distT="0" distB="0" distL="114300" distR="114300" simplePos="0" relativeHeight="251658240" behindDoc="0" locked="0" layoutInCell="1" hidden="0" allowOverlap="1" wp14:anchorId="1C4D065C" wp14:editId="51F9BD1B">
            <wp:simplePos x="0" y="0"/>
            <wp:positionH relativeFrom="column">
              <wp:posOffset>-112394</wp:posOffset>
            </wp:positionH>
            <wp:positionV relativeFrom="paragraph">
              <wp:posOffset>196850</wp:posOffset>
            </wp:positionV>
            <wp:extent cx="914400" cy="1476375"/>
            <wp:effectExtent l="0" t="0" r="0" b="0"/>
            <wp:wrapSquare wrapText="bothSides" distT="0" distB="0" distL="114300" distR="114300"/>
            <wp:docPr id="1" name="image1.png" descr="TPL logo cmyk"/>
            <wp:cNvGraphicFramePr/>
            <a:graphic xmlns:a="http://schemas.openxmlformats.org/drawingml/2006/main">
              <a:graphicData uri="http://schemas.openxmlformats.org/drawingml/2006/picture">
                <pic:pic xmlns:pic="http://schemas.openxmlformats.org/drawingml/2006/picture">
                  <pic:nvPicPr>
                    <pic:cNvPr id="0" name="image1.png" descr="TPL logo cmyk"/>
                    <pic:cNvPicPr preferRelativeResize="0"/>
                  </pic:nvPicPr>
                  <pic:blipFill>
                    <a:blip r:embed="rId8"/>
                    <a:srcRect/>
                    <a:stretch>
                      <a:fillRect/>
                    </a:stretch>
                  </pic:blipFill>
                  <pic:spPr>
                    <a:xfrm>
                      <a:off x="0" y="0"/>
                      <a:ext cx="914400" cy="1476375"/>
                    </a:xfrm>
                    <a:prstGeom prst="rect">
                      <a:avLst/>
                    </a:prstGeom>
                    <a:ln/>
                  </pic:spPr>
                </pic:pic>
              </a:graphicData>
            </a:graphic>
          </wp:anchor>
        </w:drawing>
      </w:r>
    </w:p>
    <w:p w14:paraId="18CF3E94" w14:textId="77777777" w:rsidR="00CE5AFE" w:rsidRDefault="00CE5AFE">
      <w:pPr>
        <w:keepNext/>
        <w:keepLines/>
        <w:rPr>
          <w:rFonts w:ascii="Calibri" w:eastAsia="Calibri" w:hAnsi="Calibri" w:cs="Calibri"/>
          <w:b/>
          <w:color w:val="272727"/>
        </w:rPr>
      </w:pPr>
    </w:p>
    <w:p w14:paraId="61A060F2" w14:textId="77777777" w:rsidR="00CE5AFE" w:rsidRDefault="00CE5AFE">
      <w:pPr>
        <w:keepNext/>
        <w:keepLines/>
        <w:rPr>
          <w:rFonts w:ascii="Calibri" w:eastAsia="Calibri" w:hAnsi="Calibri" w:cs="Calibri"/>
          <w:b/>
          <w:color w:val="272727"/>
        </w:rPr>
      </w:pPr>
    </w:p>
    <w:p w14:paraId="60B4120F" w14:textId="77777777" w:rsidR="00CE5AFE" w:rsidRDefault="00CE5AFE">
      <w:pPr>
        <w:keepNext/>
        <w:keepLines/>
        <w:rPr>
          <w:rFonts w:ascii="Calibri" w:eastAsia="Calibri" w:hAnsi="Calibri" w:cs="Calibri"/>
          <w:b/>
          <w:color w:val="272727"/>
        </w:rPr>
      </w:pPr>
    </w:p>
    <w:p w14:paraId="7725A3BC" w14:textId="77777777" w:rsidR="00CE5AFE" w:rsidRDefault="00CE5AFE">
      <w:pPr>
        <w:keepNext/>
        <w:keepLines/>
        <w:rPr>
          <w:rFonts w:ascii="Calibri" w:eastAsia="Calibri" w:hAnsi="Calibri" w:cs="Calibri"/>
          <w:b/>
          <w:color w:val="272727"/>
        </w:rPr>
      </w:pPr>
    </w:p>
    <w:p w14:paraId="7A075EC7" w14:textId="28D25C91" w:rsidR="00CE5AFE" w:rsidRDefault="00404E0A">
      <w:pPr>
        <w:keepNext/>
        <w:keepLines/>
        <w:rPr>
          <w:rFonts w:ascii="Calibri" w:eastAsia="Calibri" w:hAnsi="Calibri" w:cs="Calibri"/>
          <w:b/>
          <w:color w:val="272727"/>
        </w:rPr>
      </w:pPr>
      <w:r>
        <w:rPr>
          <w:rFonts w:ascii="Calibri" w:eastAsia="Calibri" w:hAnsi="Calibri" w:cs="Calibri"/>
          <w:b/>
          <w:color w:val="272727"/>
        </w:rPr>
        <w:t>Embargoed Until</w:t>
      </w:r>
      <w:r>
        <w:rPr>
          <w:rFonts w:ascii="Calibri" w:eastAsia="Calibri" w:hAnsi="Calibri" w:cs="Calibri"/>
          <w:b/>
          <w:color w:val="272727"/>
        </w:rPr>
        <w:tab/>
      </w:r>
      <w:r>
        <w:rPr>
          <w:rFonts w:ascii="Calibri" w:eastAsia="Calibri" w:hAnsi="Calibri" w:cs="Calibri"/>
          <w:b/>
          <w:color w:val="272727"/>
        </w:rPr>
        <w:tab/>
      </w:r>
      <w:r>
        <w:rPr>
          <w:rFonts w:ascii="Calibri" w:eastAsia="Calibri" w:hAnsi="Calibri" w:cs="Calibri"/>
          <w:b/>
          <w:color w:val="272727"/>
        </w:rPr>
        <w:tab/>
        <w:t xml:space="preserve">                      </w:t>
      </w:r>
      <w:r>
        <w:rPr>
          <w:rFonts w:ascii="Calibri" w:eastAsia="Calibri" w:hAnsi="Calibri" w:cs="Calibri"/>
          <w:b/>
        </w:rPr>
        <w:t xml:space="preserve">Contact: </w:t>
      </w:r>
      <w:r w:rsidR="00F95F20">
        <w:rPr>
          <w:rFonts w:ascii="Calibri" w:eastAsia="Calibri" w:hAnsi="Calibri" w:cs="Calibri"/>
        </w:rPr>
        <w:t>Laura H. Aplin</w:t>
      </w:r>
    </w:p>
    <w:p w14:paraId="07CBDF53" w14:textId="0E68B957" w:rsidR="00CE5AFE" w:rsidRDefault="00404E0A">
      <w:pPr>
        <w:rPr>
          <w:rFonts w:ascii="Calibri" w:eastAsia="Calibri" w:hAnsi="Calibri" w:cs="Calibri"/>
        </w:rPr>
      </w:pPr>
      <w:r>
        <w:rPr>
          <w:rFonts w:ascii="Calibri" w:eastAsia="Calibri" w:hAnsi="Calibri" w:cs="Calibri"/>
          <w:b/>
        </w:rPr>
        <w:t>May 20, 2020, 12:01 a.m. EDT</w:t>
      </w:r>
      <w:r>
        <w:rPr>
          <w:rFonts w:ascii="Calibri" w:eastAsia="Calibri" w:hAnsi="Calibri" w:cs="Calibri"/>
          <w:b/>
        </w:rPr>
        <w:tab/>
      </w:r>
      <w:r>
        <w:rPr>
          <w:rFonts w:ascii="Calibri" w:eastAsia="Calibri" w:hAnsi="Calibri" w:cs="Calibri"/>
          <w:b/>
        </w:rPr>
        <w:tab/>
        <w:t xml:space="preserve">                         </w:t>
      </w:r>
      <w:r w:rsidR="00F95F20" w:rsidRPr="00F95F20">
        <w:rPr>
          <w:rFonts w:asciiTheme="majorHAnsi" w:hAnsiTheme="majorHAnsi" w:cstheme="majorHAnsi"/>
        </w:rPr>
        <w:t>laura@lhapr.com</w:t>
      </w:r>
      <w:r>
        <w:rPr>
          <w:rFonts w:ascii="Calibri" w:eastAsia="Calibri" w:hAnsi="Calibri" w:cs="Calibri"/>
          <w:b/>
        </w:rPr>
        <w:tab/>
      </w:r>
      <w:r>
        <w:rPr>
          <w:rFonts w:ascii="Calibri" w:eastAsia="Calibri" w:hAnsi="Calibri" w:cs="Calibri"/>
          <w:b/>
        </w:rPr>
        <w:tab/>
      </w:r>
    </w:p>
    <w:p w14:paraId="33431D57" w14:textId="77777777" w:rsidR="00CE5AFE" w:rsidRDefault="00CE5AFE">
      <w:pPr>
        <w:rPr>
          <w:rFonts w:ascii="Calibri" w:eastAsia="Calibri" w:hAnsi="Calibri" w:cs="Calibri"/>
          <w:b/>
        </w:rPr>
      </w:pPr>
    </w:p>
    <w:p w14:paraId="30C95033" w14:textId="77777777" w:rsidR="00CE5AFE" w:rsidRDefault="00CE5AFE">
      <w:pPr>
        <w:rPr>
          <w:rFonts w:ascii="Calibri" w:eastAsia="Calibri" w:hAnsi="Calibri" w:cs="Calibri"/>
          <w:color w:val="000000"/>
        </w:rPr>
      </w:pPr>
    </w:p>
    <w:p w14:paraId="670E43CC" w14:textId="1ABF3A0E" w:rsidR="00115FFA" w:rsidRDefault="00404E0A" w:rsidP="00A969D0">
      <w:pPr>
        <w:jc w:val="center"/>
        <w:rPr>
          <w:rFonts w:ascii="Calibri" w:eastAsia="Calibri" w:hAnsi="Calibri" w:cs="Calibri"/>
          <w:b/>
          <w:color w:val="000000"/>
          <w:sz w:val="34"/>
          <w:szCs w:val="34"/>
        </w:rPr>
      </w:pPr>
      <w:r>
        <w:rPr>
          <w:rFonts w:ascii="Calibri" w:eastAsia="Calibri" w:hAnsi="Calibri" w:cs="Calibri"/>
          <w:b/>
          <w:color w:val="000000"/>
          <w:sz w:val="34"/>
          <w:szCs w:val="34"/>
        </w:rPr>
        <w:t xml:space="preserve">As Parks </w:t>
      </w:r>
      <w:r w:rsidR="005F7CAE">
        <w:rPr>
          <w:rFonts w:ascii="Calibri" w:eastAsia="Calibri" w:hAnsi="Calibri" w:cs="Calibri"/>
          <w:b/>
          <w:color w:val="000000"/>
          <w:sz w:val="34"/>
          <w:szCs w:val="34"/>
        </w:rPr>
        <w:t>Reopen</w:t>
      </w:r>
      <w:r w:rsidR="003E3D5A">
        <w:rPr>
          <w:rFonts w:ascii="Calibri" w:eastAsia="Calibri" w:hAnsi="Calibri" w:cs="Calibri"/>
          <w:b/>
          <w:color w:val="000000"/>
          <w:sz w:val="34"/>
          <w:szCs w:val="34"/>
        </w:rPr>
        <w:t xml:space="preserve"> </w:t>
      </w:r>
      <w:r w:rsidR="003F5AEC">
        <w:rPr>
          <w:rFonts w:ascii="Calibri" w:eastAsia="Calibri" w:hAnsi="Calibri" w:cs="Calibri"/>
          <w:b/>
          <w:color w:val="000000"/>
          <w:sz w:val="34"/>
          <w:szCs w:val="34"/>
        </w:rPr>
        <w:t>amid</w:t>
      </w:r>
      <w:r>
        <w:rPr>
          <w:rFonts w:ascii="Calibri" w:eastAsia="Calibri" w:hAnsi="Calibri" w:cs="Calibri"/>
          <w:b/>
          <w:color w:val="000000"/>
          <w:sz w:val="34"/>
          <w:szCs w:val="34"/>
        </w:rPr>
        <w:t xml:space="preserve"> COVID-19 Crisis, </w:t>
      </w:r>
      <w:r w:rsidR="00913937">
        <w:rPr>
          <w:rFonts w:ascii="Calibri" w:eastAsia="Calibri" w:hAnsi="Calibri" w:cs="Calibri"/>
          <w:b/>
          <w:color w:val="000000"/>
          <w:sz w:val="34"/>
          <w:szCs w:val="34"/>
        </w:rPr>
        <w:t>Plano</w:t>
      </w:r>
      <w:r w:rsidR="0030322D">
        <w:rPr>
          <w:rFonts w:ascii="Calibri" w:eastAsia="Calibri" w:hAnsi="Calibri" w:cs="Calibri"/>
          <w:b/>
          <w:color w:val="000000"/>
          <w:sz w:val="34"/>
          <w:szCs w:val="34"/>
        </w:rPr>
        <w:t xml:space="preserve"> </w:t>
      </w:r>
      <w:r w:rsidR="00291E1C">
        <w:rPr>
          <w:rFonts w:ascii="Calibri" w:eastAsia="Calibri" w:hAnsi="Calibri" w:cs="Calibri"/>
          <w:b/>
          <w:color w:val="000000"/>
          <w:sz w:val="34"/>
          <w:szCs w:val="34"/>
        </w:rPr>
        <w:t>Ranks as Area’s Best Park System on Trus</w:t>
      </w:r>
      <w:r w:rsidR="00B07137">
        <w:rPr>
          <w:rFonts w:ascii="Calibri" w:eastAsia="Calibri" w:hAnsi="Calibri" w:cs="Calibri"/>
          <w:b/>
          <w:color w:val="000000"/>
          <w:sz w:val="34"/>
          <w:szCs w:val="34"/>
        </w:rPr>
        <w:t xml:space="preserve">t for Public Land’s </w:t>
      </w:r>
      <w:r w:rsidR="003100EE">
        <w:rPr>
          <w:rFonts w:ascii="Calibri" w:eastAsia="Calibri" w:hAnsi="Calibri" w:cs="Calibri"/>
          <w:b/>
          <w:color w:val="000000"/>
          <w:sz w:val="34"/>
          <w:szCs w:val="34"/>
        </w:rPr>
        <w:t>Annual ParkScore Index</w:t>
      </w:r>
    </w:p>
    <w:p w14:paraId="6022D528" w14:textId="77777777" w:rsidR="00115FFA" w:rsidRDefault="00115FFA" w:rsidP="00A969D0">
      <w:pPr>
        <w:jc w:val="center"/>
        <w:rPr>
          <w:rFonts w:ascii="Calibri" w:eastAsia="Calibri" w:hAnsi="Calibri" w:cs="Calibri"/>
          <w:b/>
          <w:color w:val="000000"/>
          <w:sz w:val="34"/>
          <w:szCs w:val="34"/>
        </w:rPr>
      </w:pPr>
    </w:p>
    <w:p w14:paraId="73C2FA25" w14:textId="1AA8795B" w:rsidR="00A74472" w:rsidRPr="002674C2" w:rsidRDefault="00A74472" w:rsidP="00A74472">
      <w:pPr>
        <w:pStyle w:val="NoSpacing"/>
        <w:jc w:val="center"/>
        <w:rPr>
          <w:rFonts w:asciiTheme="majorHAnsi" w:hAnsiTheme="majorHAnsi" w:cstheme="majorHAnsi"/>
          <w:b/>
          <w:sz w:val="28"/>
          <w:szCs w:val="28"/>
        </w:rPr>
      </w:pPr>
      <w:r w:rsidRPr="002674C2">
        <w:rPr>
          <w:rFonts w:asciiTheme="majorHAnsi" w:hAnsiTheme="majorHAnsi" w:cstheme="majorHAnsi"/>
          <w:b/>
          <w:sz w:val="28"/>
          <w:szCs w:val="28"/>
        </w:rPr>
        <w:t>Plano Earns Highest Ranking among Six Area Cities, Placing 1</w:t>
      </w:r>
      <w:r>
        <w:rPr>
          <w:rFonts w:asciiTheme="majorHAnsi" w:hAnsiTheme="majorHAnsi" w:cstheme="majorHAnsi"/>
          <w:b/>
          <w:sz w:val="28"/>
          <w:szCs w:val="28"/>
        </w:rPr>
        <w:t>7</w:t>
      </w:r>
      <w:r w:rsidRPr="002674C2">
        <w:rPr>
          <w:rFonts w:asciiTheme="majorHAnsi" w:hAnsiTheme="majorHAnsi" w:cstheme="majorHAnsi"/>
          <w:b/>
          <w:sz w:val="28"/>
          <w:szCs w:val="28"/>
          <w:vertAlign w:val="superscript"/>
        </w:rPr>
        <w:t>th</w:t>
      </w:r>
      <w:r w:rsidRPr="002674C2">
        <w:rPr>
          <w:rFonts w:asciiTheme="majorHAnsi" w:hAnsiTheme="majorHAnsi" w:cstheme="majorHAnsi"/>
          <w:b/>
          <w:sz w:val="28"/>
          <w:szCs w:val="28"/>
        </w:rPr>
        <w:t>;</w:t>
      </w:r>
    </w:p>
    <w:p w14:paraId="1A035781" w14:textId="5DD16D9F" w:rsidR="00A74472" w:rsidRPr="002674C2" w:rsidRDefault="00A74472" w:rsidP="00A74472">
      <w:pPr>
        <w:pStyle w:val="NoSpacing"/>
        <w:jc w:val="center"/>
        <w:rPr>
          <w:rFonts w:asciiTheme="majorHAnsi" w:hAnsiTheme="majorHAnsi" w:cstheme="majorHAnsi"/>
          <w:b/>
          <w:sz w:val="28"/>
          <w:szCs w:val="28"/>
        </w:rPr>
      </w:pPr>
      <w:r w:rsidRPr="002674C2">
        <w:rPr>
          <w:rFonts w:asciiTheme="majorHAnsi" w:hAnsiTheme="majorHAnsi" w:cstheme="majorHAnsi"/>
          <w:b/>
          <w:sz w:val="28"/>
          <w:szCs w:val="28"/>
        </w:rPr>
        <w:t>Dallas Ranks 5</w:t>
      </w:r>
      <w:r>
        <w:rPr>
          <w:rFonts w:asciiTheme="majorHAnsi" w:hAnsiTheme="majorHAnsi" w:cstheme="majorHAnsi"/>
          <w:b/>
          <w:sz w:val="28"/>
          <w:szCs w:val="28"/>
        </w:rPr>
        <w:t>4</w:t>
      </w:r>
      <w:r w:rsidRPr="00A74472">
        <w:rPr>
          <w:rFonts w:asciiTheme="majorHAnsi" w:hAnsiTheme="majorHAnsi" w:cstheme="majorHAnsi"/>
          <w:b/>
          <w:sz w:val="28"/>
          <w:szCs w:val="28"/>
          <w:vertAlign w:val="superscript"/>
        </w:rPr>
        <w:t>th</w:t>
      </w:r>
      <w:r w:rsidRPr="002674C2">
        <w:rPr>
          <w:rFonts w:asciiTheme="majorHAnsi" w:hAnsiTheme="majorHAnsi" w:cstheme="majorHAnsi"/>
          <w:b/>
          <w:sz w:val="28"/>
          <w:szCs w:val="28"/>
        </w:rPr>
        <w:t>; Arlington</w:t>
      </w:r>
      <w:r>
        <w:rPr>
          <w:rFonts w:asciiTheme="majorHAnsi" w:hAnsiTheme="majorHAnsi" w:cstheme="majorHAnsi"/>
          <w:b/>
          <w:sz w:val="28"/>
          <w:szCs w:val="28"/>
        </w:rPr>
        <w:t xml:space="preserve"> Improves to</w:t>
      </w:r>
      <w:r w:rsidRPr="002674C2">
        <w:rPr>
          <w:rFonts w:asciiTheme="majorHAnsi" w:hAnsiTheme="majorHAnsi" w:cstheme="majorHAnsi"/>
          <w:b/>
          <w:sz w:val="28"/>
          <w:szCs w:val="28"/>
        </w:rPr>
        <w:t xml:space="preserve"> </w:t>
      </w:r>
      <w:r>
        <w:rPr>
          <w:rFonts w:asciiTheme="majorHAnsi" w:hAnsiTheme="majorHAnsi" w:cstheme="majorHAnsi"/>
          <w:b/>
          <w:sz w:val="28"/>
          <w:szCs w:val="28"/>
        </w:rPr>
        <w:t>59</w:t>
      </w:r>
      <w:r w:rsidRPr="002674C2">
        <w:rPr>
          <w:rFonts w:asciiTheme="majorHAnsi" w:hAnsiTheme="majorHAnsi" w:cstheme="majorHAnsi"/>
          <w:b/>
          <w:sz w:val="28"/>
          <w:szCs w:val="28"/>
          <w:vertAlign w:val="superscript"/>
        </w:rPr>
        <w:t>th</w:t>
      </w:r>
      <w:r w:rsidRPr="002674C2">
        <w:rPr>
          <w:rFonts w:asciiTheme="majorHAnsi" w:hAnsiTheme="majorHAnsi" w:cstheme="majorHAnsi"/>
          <w:b/>
          <w:sz w:val="28"/>
          <w:szCs w:val="28"/>
        </w:rPr>
        <w:t xml:space="preserve">; Garland </w:t>
      </w:r>
      <w:r>
        <w:rPr>
          <w:rFonts w:asciiTheme="majorHAnsi" w:hAnsiTheme="majorHAnsi" w:cstheme="majorHAnsi"/>
          <w:b/>
          <w:sz w:val="28"/>
          <w:szCs w:val="28"/>
        </w:rPr>
        <w:t>83</w:t>
      </w:r>
      <w:r w:rsidRPr="00A74472">
        <w:rPr>
          <w:rFonts w:asciiTheme="majorHAnsi" w:hAnsiTheme="majorHAnsi" w:cstheme="majorHAnsi"/>
          <w:b/>
          <w:sz w:val="28"/>
          <w:szCs w:val="28"/>
          <w:vertAlign w:val="superscript"/>
        </w:rPr>
        <w:t>rd</w:t>
      </w:r>
      <w:r w:rsidRPr="002674C2">
        <w:rPr>
          <w:rFonts w:asciiTheme="majorHAnsi" w:hAnsiTheme="majorHAnsi" w:cstheme="majorHAnsi"/>
          <w:b/>
          <w:sz w:val="28"/>
          <w:szCs w:val="28"/>
        </w:rPr>
        <w:t>; Irving 8</w:t>
      </w:r>
      <w:r>
        <w:rPr>
          <w:rFonts w:asciiTheme="majorHAnsi" w:hAnsiTheme="majorHAnsi" w:cstheme="majorHAnsi"/>
          <w:b/>
          <w:sz w:val="28"/>
          <w:szCs w:val="28"/>
        </w:rPr>
        <w:t>9</w:t>
      </w:r>
      <w:r w:rsidRPr="002674C2">
        <w:rPr>
          <w:rFonts w:asciiTheme="majorHAnsi" w:hAnsiTheme="majorHAnsi" w:cstheme="majorHAnsi"/>
          <w:b/>
          <w:sz w:val="28"/>
          <w:szCs w:val="28"/>
          <w:vertAlign w:val="superscript"/>
        </w:rPr>
        <w:t>th</w:t>
      </w:r>
      <w:r w:rsidRPr="002674C2">
        <w:rPr>
          <w:rFonts w:asciiTheme="majorHAnsi" w:hAnsiTheme="majorHAnsi" w:cstheme="majorHAnsi"/>
          <w:b/>
          <w:sz w:val="28"/>
          <w:szCs w:val="28"/>
        </w:rPr>
        <w:t>; and Fort Worth</w:t>
      </w:r>
      <w:r>
        <w:rPr>
          <w:rFonts w:asciiTheme="majorHAnsi" w:hAnsiTheme="majorHAnsi" w:cstheme="majorHAnsi"/>
          <w:b/>
          <w:sz w:val="28"/>
          <w:szCs w:val="28"/>
        </w:rPr>
        <w:t xml:space="preserve"> Dips</w:t>
      </w:r>
      <w:r w:rsidRPr="002674C2">
        <w:rPr>
          <w:rFonts w:asciiTheme="majorHAnsi" w:hAnsiTheme="majorHAnsi" w:cstheme="majorHAnsi"/>
          <w:b/>
          <w:sz w:val="28"/>
          <w:szCs w:val="28"/>
        </w:rPr>
        <w:t xml:space="preserve"> </w:t>
      </w:r>
      <w:r>
        <w:rPr>
          <w:rFonts w:asciiTheme="majorHAnsi" w:hAnsiTheme="majorHAnsi" w:cstheme="majorHAnsi"/>
          <w:b/>
          <w:sz w:val="28"/>
          <w:szCs w:val="28"/>
        </w:rPr>
        <w:t>to 94</w:t>
      </w:r>
      <w:r w:rsidRPr="00A74472">
        <w:rPr>
          <w:rFonts w:asciiTheme="majorHAnsi" w:hAnsiTheme="majorHAnsi" w:cstheme="majorHAnsi"/>
          <w:b/>
          <w:sz w:val="28"/>
          <w:szCs w:val="28"/>
          <w:vertAlign w:val="superscript"/>
        </w:rPr>
        <w:t>th</w:t>
      </w:r>
    </w:p>
    <w:p w14:paraId="1666EB9B" w14:textId="77777777" w:rsidR="00CE5AFE" w:rsidRPr="00A969D0" w:rsidRDefault="00CE5AFE">
      <w:pPr>
        <w:jc w:val="center"/>
        <w:rPr>
          <w:rFonts w:ascii="Calibri" w:eastAsia="Calibri" w:hAnsi="Calibri" w:cs="Calibri"/>
          <w:bCs/>
          <w:color w:val="000000"/>
          <w:sz w:val="26"/>
          <w:szCs w:val="26"/>
        </w:rPr>
      </w:pPr>
    </w:p>
    <w:p w14:paraId="05694D63" w14:textId="6720F78C" w:rsidR="00CE5AFE" w:rsidRDefault="00063268">
      <w:pPr>
        <w:jc w:val="center"/>
        <w:rPr>
          <w:rFonts w:ascii="Calibri" w:eastAsia="Calibri" w:hAnsi="Calibri" w:cs="Calibri"/>
          <w:b/>
          <w:i/>
          <w:color w:val="000000"/>
          <w:sz w:val="28"/>
          <w:szCs w:val="28"/>
        </w:rPr>
      </w:pPr>
      <w:r>
        <w:rPr>
          <w:rFonts w:ascii="Calibri" w:eastAsia="Calibri" w:hAnsi="Calibri" w:cs="Calibri"/>
          <w:b/>
          <w:i/>
          <w:color w:val="000000"/>
          <w:sz w:val="28"/>
          <w:szCs w:val="28"/>
        </w:rPr>
        <w:t>ParkScore</w:t>
      </w:r>
      <w:r w:rsidR="00404E0A">
        <w:rPr>
          <w:rFonts w:ascii="Calibri" w:eastAsia="Calibri" w:hAnsi="Calibri" w:cs="Calibri"/>
          <w:b/>
          <w:i/>
          <w:color w:val="000000"/>
          <w:sz w:val="28"/>
          <w:szCs w:val="28"/>
        </w:rPr>
        <w:t xml:space="preserve"> Reports </w:t>
      </w:r>
      <w:r w:rsidR="007F6037">
        <w:rPr>
          <w:rFonts w:ascii="Calibri" w:eastAsia="Calibri" w:hAnsi="Calibri" w:cs="Calibri"/>
          <w:b/>
          <w:i/>
          <w:color w:val="000000"/>
          <w:sz w:val="28"/>
          <w:szCs w:val="28"/>
        </w:rPr>
        <w:t xml:space="preserve">Sharp Increase in </w:t>
      </w:r>
      <w:r w:rsidR="00151A63">
        <w:rPr>
          <w:rFonts w:ascii="Calibri" w:eastAsia="Calibri" w:hAnsi="Calibri" w:cs="Calibri"/>
          <w:b/>
          <w:i/>
          <w:color w:val="000000"/>
          <w:sz w:val="28"/>
          <w:szCs w:val="28"/>
        </w:rPr>
        <w:t xml:space="preserve">Park </w:t>
      </w:r>
      <w:r w:rsidR="00DE7775">
        <w:rPr>
          <w:rFonts w:ascii="Calibri" w:eastAsia="Calibri" w:hAnsi="Calibri" w:cs="Calibri"/>
          <w:b/>
          <w:i/>
          <w:color w:val="000000"/>
          <w:sz w:val="28"/>
          <w:szCs w:val="28"/>
        </w:rPr>
        <w:t xml:space="preserve">and Trail </w:t>
      </w:r>
      <w:r w:rsidR="00151A63">
        <w:rPr>
          <w:rFonts w:ascii="Calibri" w:eastAsia="Calibri" w:hAnsi="Calibri" w:cs="Calibri"/>
          <w:b/>
          <w:i/>
          <w:color w:val="000000"/>
          <w:sz w:val="28"/>
          <w:szCs w:val="28"/>
        </w:rPr>
        <w:t>Use</w:t>
      </w:r>
      <w:r w:rsidR="00A614A4">
        <w:rPr>
          <w:rFonts w:ascii="Calibri" w:eastAsia="Calibri" w:hAnsi="Calibri" w:cs="Calibri"/>
          <w:b/>
          <w:i/>
          <w:color w:val="000000"/>
          <w:sz w:val="28"/>
          <w:szCs w:val="28"/>
        </w:rPr>
        <w:t xml:space="preserve"> Nationally</w:t>
      </w:r>
      <w:r w:rsidR="00404E0A">
        <w:rPr>
          <w:rFonts w:ascii="Calibri" w:eastAsia="Calibri" w:hAnsi="Calibri" w:cs="Calibri"/>
          <w:b/>
          <w:i/>
          <w:color w:val="000000"/>
          <w:sz w:val="28"/>
          <w:szCs w:val="28"/>
        </w:rPr>
        <w:t>,</w:t>
      </w:r>
      <w:r w:rsidR="00151A63">
        <w:rPr>
          <w:rFonts w:ascii="Calibri" w:eastAsia="Calibri" w:hAnsi="Calibri" w:cs="Calibri"/>
          <w:b/>
          <w:i/>
          <w:color w:val="000000"/>
          <w:sz w:val="28"/>
          <w:szCs w:val="28"/>
        </w:rPr>
        <w:t xml:space="preserve"> </w:t>
      </w:r>
      <w:r w:rsidR="00404E0A">
        <w:rPr>
          <w:rFonts w:ascii="Calibri" w:eastAsia="Calibri" w:hAnsi="Calibri" w:cs="Calibri"/>
          <w:b/>
          <w:i/>
          <w:color w:val="000000"/>
          <w:sz w:val="28"/>
          <w:szCs w:val="28"/>
        </w:rPr>
        <w:t xml:space="preserve">but Experts </w:t>
      </w:r>
      <w:r>
        <w:rPr>
          <w:rFonts w:ascii="Calibri" w:eastAsia="Calibri" w:hAnsi="Calibri" w:cs="Calibri"/>
          <w:b/>
          <w:i/>
          <w:color w:val="000000"/>
          <w:sz w:val="28"/>
          <w:szCs w:val="28"/>
        </w:rPr>
        <w:t xml:space="preserve">             </w:t>
      </w:r>
      <w:r w:rsidR="00404E0A">
        <w:rPr>
          <w:rFonts w:ascii="Calibri" w:eastAsia="Calibri" w:hAnsi="Calibri" w:cs="Calibri"/>
          <w:b/>
          <w:i/>
          <w:color w:val="000000"/>
          <w:sz w:val="28"/>
          <w:szCs w:val="28"/>
        </w:rPr>
        <w:t>Sound Alarm over Park Inequities and Risk of Budget Cuts</w:t>
      </w:r>
    </w:p>
    <w:p w14:paraId="33CA8BA8" w14:textId="77777777" w:rsidR="00CE5AFE" w:rsidRDefault="00CE5AFE">
      <w:pPr>
        <w:jc w:val="center"/>
        <w:rPr>
          <w:rFonts w:ascii="Calibri" w:eastAsia="Calibri" w:hAnsi="Calibri" w:cs="Calibri"/>
          <w:b/>
          <w:i/>
          <w:color w:val="000000"/>
          <w:sz w:val="32"/>
          <w:szCs w:val="32"/>
        </w:rPr>
      </w:pPr>
    </w:p>
    <w:p w14:paraId="6CAA6641" w14:textId="7B99C2F7" w:rsidR="008C590C" w:rsidRDefault="00A74472">
      <w:pPr>
        <w:rPr>
          <w:bCs/>
          <w:color w:val="000000"/>
          <w:highlight w:val="lightGray"/>
        </w:rPr>
      </w:pPr>
      <w:r>
        <w:rPr>
          <w:b/>
          <w:color w:val="000000"/>
          <w:highlight w:val="lightGray"/>
        </w:rPr>
        <w:t>Dal</w:t>
      </w:r>
      <w:r w:rsidR="005027C2">
        <w:rPr>
          <w:b/>
          <w:color w:val="000000"/>
          <w:highlight w:val="lightGray"/>
        </w:rPr>
        <w:t>las</w:t>
      </w:r>
      <w:r w:rsidR="00404E0A" w:rsidRPr="003F3947">
        <w:rPr>
          <w:b/>
          <w:color w:val="000000"/>
          <w:highlight w:val="lightGray"/>
        </w:rPr>
        <w:t xml:space="preserve"> – </w:t>
      </w:r>
      <w:r w:rsidR="003F5AEC" w:rsidRPr="003F3947">
        <w:rPr>
          <w:bCs/>
          <w:color w:val="000000"/>
          <w:highlight w:val="lightGray"/>
        </w:rPr>
        <w:t xml:space="preserve">As state and municipal leaders </w:t>
      </w:r>
      <w:r w:rsidR="00811938" w:rsidRPr="003F3947">
        <w:rPr>
          <w:bCs/>
          <w:color w:val="000000"/>
          <w:highlight w:val="lightGray"/>
        </w:rPr>
        <w:t>continue</w:t>
      </w:r>
      <w:r w:rsidR="003F5AEC" w:rsidRPr="003F3947">
        <w:rPr>
          <w:bCs/>
          <w:color w:val="000000"/>
          <w:highlight w:val="lightGray"/>
        </w:rPr>
        <w:t xml:space="preserve"> reopening parks and open spaces as </w:t>
      </w:r>
      <w:r w:rsidR="00404E0A" w:rsidRPr="003F3947">
        <w:rPr>
          <w:bCs/>
          <w:color w:val="000000"/>
          <w:highlight w:val="lightGray"/>
        </w:rPr>
        <w:t xml:space="preserve">the world weathers the COVID-19 pandemic, </w:t>
      </w:r>
      <w:r w:rsidR="003F5AEC" w:rsidRPr="003F3947">
        <w:rPr>
          <w:bCs/>
          <w:color w:val="000000"/>
          <w:highlight w:val="lightGray"/>
        </w:rPr>
        <w:t xml:space="preserve">The Trust for Public Land announced that </w:t>
      </w:r>
      <w:r w:rsidR="005027C2">
        <w:rPr>
          <w:bCs/>
          <w:color w:val="000000"/>
          <w:highlight w:val="lightGray"/>
        </w:rPr>
        <w:t xml:space="preserve">Plano earned the highest ranking </w:t>
      </w:r>
      <w:r w:rsidR="001C79CE">
        <w:rPr>
          <w:bCs/>
          <w:color w:val="000000"/>
          <w:highlight w:val="lightGray"/>
        </w:rPr>
        <w:t>among area cities on the annual 2020 ParkScore inde</w:t>
      </w:r>
      <w:r w:rsidR="008C590C">
        <w:rPr>
          <w:bCs/>
          <w:color w:val="000000"/>
          <w:highlight w:val="lightGray"/>
        </w:rPr>
        <w:t>x.</w:t>
      </w:r>
      <w:r w:rsidR="001C79CE">
        <w:rPr>
          <w:bCs/>
          <w:color w:val="000000"/>
          <w:highlight w:val="lightGray"/>
        </w:rPr>
        <w:t xml:space="preserve"> </w:t>
      </w:r>
      <w:r w:rsidR="008C590C">
        <w:rPr>
          <w:bCs/>
          <w:color w:val="000000"/>
          <w:highlight w:val="lightGray"/>
        </w:rPr>
        <w:t xml:space="preserve">Arlington </w:t>
      </w:r>
      <w:r w:rsidR="00E5646A">
        <w:rPr>
          <w:bCs/>
          <w:color w:val="000000"/>
          <w:highlight w:val="lightGray"/>
        </w:rPr>
        <w:t>made a major upward move</w:t>
      </w:r>
      <w:r w:rsidR="008C590C">
        <w:rPr>
          <w:bCs/>
          <w:color w:val="000000"/>
          <w:highlight w:val="lightGray"/>
        </w:rPr>
        <w:t xml:space="preserve"> in</w:t>
      </w:r>
      <w:r w:rsidR="00E5646A">
        <w:rPr>
          <w:bCs/>
          <w:color w:val="000000"/>
          <w:highlight w:val="lightGray"/>
        </w:rPr>
        <w:t xml:space="preserve"> the</w:t>
      </w:r>
      <w:r w:rsidR="008C590C">
        <w:rPr>
          <w:bCs/>
          <w:color w:val="000000"/>
          <w:highlight w:val="lightGray"/>
        </w:rPr>
        <w:t xml:space="preserve"> annual ranking of the 100 largest U.S. cities</w:t>
      </w:r>
      <w:r w:rsidR="00E5646A">
        <w:rPr>
          <w:bCs/>
          <w:color w:val="000000"/>
          <w:highlight w:val="lightGray"/>
        </w:rPr>
        <w:t>, climbing to 59</w:t>
      </w:r>
      <w:r w:rsidR="00E5646A" w:rsidRPr="00E5646A">
        <w:rPr>
          <w:bCs/>
          <w:color w:val="000000"/>
          <w:highlight w:val="lightGray"/>
          <w:vertAlign w:val="superscript"/>
        </w:rPr>
        <w:t>th</w:t>
      </w:r>
      <w:r w:rsidR="00FF0838">
        <w:rPr>
          <w:bCs/>
          <w:color w:val="000000"/>
          <w:highlight w:val="lightGray"/>
        </w:rPr>
        <w:t>, compared to last year’s 68</w:t>
      </w:r>
      <w:r w:rsidR="00FF0838" w:rsidRPr="00FF0838">
        <w:rPr>
          <w:bCs/>
          <w:color w:val="000000"/>
          <w:highlight w:val="lightGray"/>
          <w:vertAlign w:val="superscript"/>
        </w:rPr>
        <w:t>th</w:t>
      </w:r>
      <w:r w:rsidR="00FF0838">
        <w:rPr>
          <w:bCs/>
          <w:color w:val="000000"/>
          <w:highlight w:val="lightGray"/>
        </w:rPr>
        <w:t xml:space="preserve"> place finish. </w:t>
      </w:r>
      <w:r w:rsidR="00D10C4A">
        <w:rPr>
          <w:bCs/>
          <w:color w:val="000000"/>
          <w:highlight w:val="lightGray"/>
        </w:rPr>
        <w:t xml:space="preserve">Atop the ParkScore rankings, </w:t>
      </w:r>
      <w:r w:rsidR="00D10C4A" w:rsidRPr="003F3947">
        <w:rPr>
          <w:bCs/>
          <w:color w:val="000000"/>
          <w:highlight w:val="lightGray"/>
        </w:rPr>
        <w:t>Minneapolis reclaimed the national title</w:t>
      </w:r>
      <w:r w:rsidR="00D10C4A">
        <w:rPr>
          <w:bCs/>
          <w:color w:val="000000"/>
          <w:highlight w:val="lightGray"/>
        </w:rPr>
        <w:t>, pushing Washington, DC, into 2</w:t>
      </w:r>
      <w:r w:rsidR="00D10C4A" w:rsidRPr="00401F2B">
        <w:rPr>
          <w:bCs/>
          <w:color w:val="000000"/>
          <w:highlight w:val="lightGray"/>
          <w:vertAlign w:val="superscript"/>
        </w:rPr>
        <w:t>nd</w:t>
      </w:r>
      <w:r w:rsidR="00D10C4A" w:rsidRPr="003F3947">
        <w:rPr>
          <w:bCs/>
          <w:color w:val="000000"/>
          <w:highlight w:val="lightGray"/>
        </w:rPr>
        <w:t>.</w:t>
      </w:r>
      <w:r w:rsidR="00D10C4A">
        <w:rPr>
          <w:bCs/>
          <w:color w:val="000000"/>
        </w:rPr>
        <w:t xml:space="preserve"> </w:t>
      </w:r>
    </w:p>
    <w:p w14:paraId="07C0AEDA" w14:textId="77777777" w:rsidR="008C590C" w:rsidRDefault="008C590C">
      <w:pPr>
        <w:rPr>
          <w:bCs/>
          <w:color w:val="000000"/>
          <w:highlight w:val="lightGray"/>
        </w:rPr>
      </w:pPr>
    </w:p>
    <w:p w14:paraId="73D798BF" w14:textId="60B8F06A" w:rsidR="00CE5AFE" w:rsidRDefault="00045AA9">
      <w:pPr>
        <w:rPr>
          <w:color w:val="000000"/>
        </w:rPr>
      </w:pPr>
      <w:r>
        <w:rPr>
          <w:bCs/>
          <w:color w:val="000000"/>
        </w:rPr>
        <w:t>The nonprofit organization reported</w:t>
      </w:r>
      <w:r w:rsidR="00D07150">
        <w:rPr>
          <w:bCs/>
          <w:color w:val="000000"/>
        </w:rPr>
        <w:t xml:space="preserve"> progress for parks </w:t>
      </w:r>
      <w:r w:rsidR="00926CC3">
        <w:rPr>
          <w:bCs/>
          <w:color w:val="000000"/>
        </w:rPr>
        <w:t>across the nation</w:t>
      </w:r>
      <w:r w:rsidR="00D07150">
        <w:rPr>
          <w:bCs/>
          <w:color w:val="000000"/>
        </w:rPr>
        <w:t>,</w:t>
      </w:r>
      <w:r>
        <w:rPr>
          <w:bCs/>
          <w:color w:val="000000"/>
        </w:rPr>
        <w:t xml:space="preserve"> but also</w:t>
      </w:r>
      <w:r w:rsidR="00404E0A">
        <w:rPr>
          <w:color w:val="000000"/>
        </w:rPr>
        <w:t xml:space="preserve"> warned that city park systems have reached a critical tipping point, as widening inequities in </w:t>
      </w:r>
      <w:r w:rsidR="00A655F3">
        <w:rPr>
          <w:color w:val="000000"/>
        </w:rPr>
        <w:t xml:space="preserve">equitable </w:t>
      </w:r>
      <w:r w:rsidR="00404E0A">
        <w:rPr>
          <w:color w:val="000000"/>
        </w:rPr>
        <w:t>park access and COVID-related budget cuts risk irreversible damage</w:t>
      </w:r>
      <w:r w:rsidR="00D07150">
        <w:rPr>
          <w:color w:val="000000"/>
        </w:rPr>
        <w:t xml:space="preserve"> in 2020 and beyond</w:t>
      </w:r>
      <w:r w:rsidR="00404E0A">
        <w:rPr>
          <w:color w:val="000000"/>
        </w:rPr>
        <w:t>.</w:t>
      </w:r>
    </w:p>
    <w:p w14:paraId="310BBE57" w14:textId="77777777" w:rsidR="00CE5AFE" w:rsidRDefault="00CE5AFE">
      <w:pPr>
        <w:pBdr>
          <w:top w:val="nil"/>
          <w:left w:val="nil"/>
          <w:bottom w:val="nil"/>
          <w:right w:val="nil"/>
          <w:between w:val="nil"/>
        </w:pBdr>
      </w:pPr>
    </w:p>
    <w:p w14:paraId="2A91D943" w14:textId="39FF7352" w:rsidR="00CE5AFE" w:rsidRDefault="00404E0A">
      <w:pPr>
        <w:pBdr>
          <w:top w:val="nil"/>
          <w:left w:val="nil"/>
          <w:bottom w:val="nil"/>
          <w:right w:val="nil"/>
          <w:between w:val="nil"/>
        </w:pBdr>
        <w:rPr>
          <w:color w:val="000000"/>
        </w:rPr>
      </w:pPr>
      <w:r>
        <w:rPr>
          <w:color w:val="000000"/>
        </w:rPr>
        <w:t>“When stay-at-home orders permit</w:t>
      </w:r>
      <w:r w:rsidR="00045AA9">
        <w:rPr>
          <w:color w:val="000000"/>
        </w:rPr>
        <w:t>ted</w:t>
      </w:r>
      <w:r>
        <w:rPr>
          <w:color w:val="000000"/>
        </w:rPr>
        <w:t xml:space="preserve">, people </w:t>
      </w:r>
      <w:r w:rsidR="009068FA">
        <w:rPr>
          <w:color w:val="000000"/>
        </w:rPr>
        <w:t xml:space="preserve">increasingly </w:t>
      </w:r>
      <w:r>
        <w:rPr>
          <w:color w:val="000000"/>
        </w:rPr>
        <w:t>turn</w:t>
      </w:r>
      <w:r w:rsidR="00D07150">
        <w:rPr>
          <w:color w:val="000000"/>
        </w:rPr>
        <w:t>ed</w:t>
      </w:r>
      <w:r>
        <w:rPr>
          <w:color w:val="000000"/>
        </w:rPr>
        <w:t xml:space="preserve"> to parks, trails, and public open spaces</w:t>
      </w:r>
      <w:r w:rsidR="00045AA9">
        <w:rPr>
          <w:color w:val="000000"/>
        </w:rPr>
        <w:t xml:space="preserve"> </w:t>
      </w:r>
      <w:r>
        <w:rPr>
          <w:color w:val="000000"/>
        </w:rPr>
        <w:t xml:space="preserve">to connect with nature, exercise, and enhance their mental and physical health. Residents deeply value parks, but continued inequity and the risk of future budget cuts threaten severe damage to the park systems that make many cities so </w:t>
      </w:r>
      <w:r w:rsidR="00F62599">
        <w:rPr>
          <w:color w:val="000000"/>
        </w:rPr>
        <w:t>livable</w:t>
      </w:r>
      <w:r>
        <w:rPr>
          <w:color w:val="000000"/>
        </w:rPr>
        <w:t xml:space="preserve">,” says Diane </w:t>
      </w:r>
      <w:proofErr w:type="spellStart"/>
      <w:r>
        <w:rPr>
          <w:color w:val="000000"/>
        </w:rPr>
        <w:t>Regas</w:t>
      </w:r>
      <w:proofErr w:type="spellEnd"/>
      <w:r>
        <w:rPr>
          <w:color w:val="000000"/>
        </w:rPr>
        <w:t xml:space="preserve">, President and CEO of The Trust for Public Land. </w:t>
      </w:r>
    </w:p>
    <w:p w14:paraId="34B278F0" w14:textId="3DD65B04" w:rsidR="006B49B1" w:rsidRDefault="006B49B1">
      <w:pPr>
        <w:pBdr>
          <w:top w:val="nil"/>
          <w:left w:val="nil"/>
          <w:bottom w:val="nil"/>
          <w:right w:val="nil"/>
          <w:between w:val="nil"/>
        </w:pBdr>
        <w:rPr>
          <w:color w:val="000000"/>
        </w:rPr>
      </w:pPr>
    </w:p>
    <w:p w14:paraId="636E7B66" w14:textId="768DDC98" w:rsidR="006B49B1" w:rsidRDefault="00BD3D61">
      <w:pPr>
        <w:pBdr>
          <w:top w:val="nil"/>
          <w:left w:val="nil"/>
          <w:bottom w:val="nil"/>
          <w:right w:val="nil"/>
          <w:between w:val="nil"/>
        </w:pBdr>
        <w:rPr>
          <w:color w:val="000000"/>
        </w:rPr>
      </w:pPr>
      <w:r>
        <w:rPr>
          <w:color w:val="000000"/>
          <w:highlight w:val="lightGray"/>
        </w:rPr>
        <w:t>Area park</w:t>
      </w:r>
      <w:r w:rsidR="00DC6981">
        <w:rPr>
          <w:color w:val="000000"/>
          <w:highlight w:val="lightGray"/>
        </w:rPr>
        <w:t>s</w:t>
      </w:r>
      <w:r w:rsidR="004F0C2F">
        <w:rPr>
          <w:color w:val="000000"/>
          <w:highlight w:val="lightGray"/>
        </w:rPr>
        <w:t xml:space="preserve">, </w:t>
      </w:r>
      <w:r w:rsidR="00DC6981">
        <w:rPr>
          <w:color w:val="000000"/>
          <w:highlight w:val="lightGray"/>
        </w:rPr>
        <w:t>trails</w:t>
      </w:r>
      <w:r w:rsidR="004F0C2F">
        <w:rPr>
          <w:color w:val="000000"/>
          <w:highlight w:val="lightGray"/>
        </w:rPr>
        <w:t>, and golf courses</w:t>
      </w:r>
      <w:r w:rsidR="00DC6981">
        <w:rPr>
          <w:color w:val="000000"/>
          <w:highlight w:val="lightGray"/>
        </w:rPr>
        <w:t xml:space="preserve"> are mostly open, although park </w:t>
      </w:r>
      <w:r w:rsidR="00235E3E" w:rsidRPr="0003320E">
        <w:rPr>
          <w:color w:val="000000"/>
          <w:highlight w:val="lightGray"/>
        </w:rPr>
        <w:t xml:space="preserve">amenities, such as playgrounds and </w:t>
      </w:r>
      <w:r w:rsidR="006E2BB0" w:rsidRPr="0003320E">
        <w:rPr>
          <w:color w:val="000000"/>
          <w:highlight w:val="lightGray"/>
        </w:rPr>
        <w:t>restrooms</w:t>
      </w:r>
      <w:r w:rsidR="00CF49EA" w:rsidRPr="0003320E">
        <w:rPr>
          <w:color w:val="000000"/>
          <w:highlight w:val="lightGray"/>
        </w:rPr>
        <w:t>,</w:t>
      </w:r>
      <w:r w:rsidR="006E2BB0" w:rsidRPr="0003320E">
        <w:rPr>
          <w:color w:val="000000"/>
          <w:highlight w:val="lightGray"/>
        </w:rPr>
        <w:t xml:space="preserve"> </w:t>
      </w:r>
      <w:r w:rsidR="00C2658C">
        <w:rPr>
          <w:color w:val="000000"/>
          <w:highlight w:val="lightGray"/>
        </w:rPr>
        <w:t>are</w:t>
      </w:r>
      <w:r w:rsidR="004F0C2F">
        <w:rPr>
          <w:color w:val="000000"/>
          <w:highlight w:val="lightGray"/>
        </w:rPr>
        <w:t xml:space="preserve"> mostly</w:t>
      </w:r>
      <w:r w:rsidR="00A063AD">
        <w:rPr>
          <w:color w:val="000000"/>
          <w:highlight w:val="lightGray"/>
        </w:rPr>
        <w:t xml:space="preserve"> </w:t>
      </w:r>
      <w:r w:rsidR="006E2BB0" w:rsidRPr="0003320E">
        <w:rPr>
          <w:color w:val="000000"/>
          <w:highlight w:val="lightGray"/>
        </w:rPr>
        <w:t xml:space="preserve">closed. </w:t>
      </w:r>
    </w:p>
    <w:p w14:paraId="3848A805" w14:textId="77777777" w:rsidR="00CE5AFE" w:rsidRDefault="00CE5AFE">
      <w:pPr>
        <w:pBdr>
          <w:top w:val="nil"/>
          <w:left w:val="nil"/>
          <w:bottom w:val="nil"/>
          <w:right w:val="nil"/>
          <w:between w:val="nil"/>
        </w:pBdr>
        <w:rPr>
          <w:highlight w:val="yellow"/>
        </w:rPr>
      </w:pPr>
    </w:p>
    <w:p w14:paraId="15EB0B11" w14:textId="60762299" w:rsidR="00CE5AFE" w:rsidRDefault="00404E0A">
      <w:pPr>
        <w:pBdr>
          <w:top w:val="nil"/>
          <w:left w:val="nil"/>
          <w:bottom w:val="nil"/>
          <w:right w:val="nil"/>
          <w:between w:val="nil"/>
        </w:pBdr>
        <w:rPr>
          <w:b/>
          <w:color w:val="000000"/>
        </w:rPr>
      </w:pPr>
      <w:r>
        <w:rPr>
          <w:b/>
          <w:color w:val="000000"/>
        </w:rPr>
        <w:t>PARKSCORE RANKINGS RELEASED FOR 2020</w:t>
      </w:r>
    </w:p>
    <w:p w14:paraId="751457C0" w14:textId="77777777" w:rsidR="00CE5AFE" w:rsidRDefault="00CE5AFE"/>
    <w:p w14:paraId="28775304" w14:textId="0F674477" w:rsidR="00CE5AFE" w:rsidRDefault="00404E0A">
      <w:pPr>
        <w:rPr>
          <w:bCs/>
          <w:color w:val="000000"/>
        </w:rPr>
      </w:pPr>
      <w:r>
        <w:rPr>
          <w:color w:val="000000"/>
        </w:rPr>
        <w:t>According to the Trust for Public Land’s ninth annual ParkScore</w:t>
      </w:r>
      <w:r>
        <w:rPr>
          <w:color w:val="000000"/>
          <w:vertAlign w:val="superscript"/>
        </w:rPr>
        <w:t>®</w:t>
      </w:r>
      <w:r>
        <w:rPr>
          <w:color w:val="000000"/>
        </w:rPr>
        <w:t xml:space="preserve"> index, Minneapolis, Minn., has the best city park system in the country. The city pulled slightly ahead of 2019 champion Washington, DC, </w:t>
      </w:r>
      <w:r w:rsidR="00045AA9">
        <w:rPr>
          <w:color w:val="000000"/>
        </w:rPr>
        <w:t xml:space="preserve">largely </w:t>
      </w:r>
      <w:r w:rsidR="00E93485">
        <w:rPr>
          <w:color w:val="000000"/>
        </w:rPr>
        <w:t>because of</w:t>
      </w:r>
      <w:r w:rsidR="00045AA9">
        <w:rPr>
          <w:color w:val="000000"/>
        </w:rPr>
        <w:t xml:space="preserve"> </w:t>
      </w:r>
      <w:r>
        <w:rPr>
          <w:color w:val="000000"/>
        </w:rPr>
        <w:t xml:space="preserve">new park acquisitions and strategic expansions. </w:t>
      </w:r>
      <w:r w:rsidR="00CE46BF">
        <w:rPr>
          <w:color w:val="000000"/>
        </w:rPr>
        <w:t>DC</w:t>
      </w:r>
      <w:r>
        <w:rPr>
          <w:color w:val="000000"/>
        </w:rPr>
        <w:t xml:space="preserve"> fell to second, and St. Paul, Minn., finished third. Minneapolis has held the top spot in four of the past five years. </w:t>
      </w:r>
      <w:r w:rsidR="00045AA9">
        <w:rPr>
          <w:bCs/>
          <w:color w:val="000000"/>
        </w:rPr>
        <w:t xml:space="preserve">The annual ParkScore Index </w:t>
      </w:r>
      <w:r w:rsidR="00045AA9" w:rsidRPr="00E578CD">
        <w:rPr>
          <w:bCs/>
          <w:color w:val="000000"/>
        </w:rPr>
        <w:t>evaluates park systems in the 100 most populous U.S. cities.</w:t>
      </w:r>
    </w:p>
    <w:p w14:paraId="07BA4FD1" w14:textId="1194BC73" w:rsidR="00370880" w:rsidRDefault="00370880">
      <w:pPr>
        <w:rPr>
          <w:bCs/>
          <w:color w:val="000000"/>
        </w:rPr>
      </w:pPr>
    </w:p>
    <w:p w14:paraId="120E521C" w14:textId="1B7B762F" w:rsidR="00370880" w:rsidRDefault="00810F92">
      <w:pPr>
        <w:rPr>
          <w:bCs/>
          <w:color w:val="000000"/>
          <w:highlight w:val="lightGray"/>
        </w:rPr>
      </w:pPr>
      <w:r>
        <w:rPr>
          <w:bCs/>
          <w:color w:val="000000"/>
          <w:highlight w:val="lightGray"/>
        </w:rPr>
        <w:t>Plano</w:t>
      </w:r>
      <w:r w:rsidR="00985C87">
        <w:rPr>
          <w:bCs/>
          <w:color w:val="000000"/>
          <w:highlight w:val="lightGray"/>
        </w:rPr>
        <w:t xml:space="preserve"> remains the highest-ranking area city park system, while </w:t>
      </w:r>
      <w:r>
        <w:rPr>
          <w:bCs/>
          <w:color w:val="000000"/>
          <w:highlight w:val="lightGray"/>
        </w:rPr>
        <w:t>Arlington</w:t>
      </w:r>
      <w:r w:rsidR="001F7450">
        <w:rPr>
          <w:bCs/>
          <w:color w:val="000000"/>
          <w:highlight w:val="lightGray"/>
        </w:rPr>
        <w:t xml:space="preserve"> recorded</w:t>
      </w:r>
      <w:r w:rsidR="00366FEC" w:rsidRPr="00F834D9">
        <w:rPr>
          <w:bCs/>
          <w:color w:val="000000"/>
          <w:highlight w:val="lightGray"/>
        </w:rPr>
        <w:t xml:space="preserve"> the most progress</w:t>
      </w:r>
      <w:r>
        <w:rPr>
          <w:bCs/>
          <w:color w:val="000000"/>
          <w:highlight w:val="lightGray"/>
        </w:rPr>
        <w:t xml:space="preserve"> in this year’s ParkScore index.</w:t>
      </w:r>
    </w:p>
    <w:p w14:paraId="7AE5E4E3" w14:textId="77777777" w:rsidR="007B1D5B" w:rsidRPr="00F834D9" w:rsidRDefault="007B1D5B">
      <w:pPr>
        <w:rPr>
          <w:bCs/>
          <w:color w:val="000000"/>
          <w:highlight w:val="lightGray"/>
        </w:rPr>
      </w:pPr>
    </w:p>
    <w:tbl>
      <w:tblPr>
        <w:tblStyle w:val="TableGrid"/>
        <w:tblW w:w="0" w:type="auto"/>
        <w:jc w:val="center"/>
        <w:tblLook w:val="04A0" w:firstRow="1" w:lastRow="0" w:firstColumn="1" w:lastColumn="0" w:noHBand="0" w:noVBand="1"/>
      </w:tblPr>
      <w:tblGrid>
        <w:gridCol w:w="2337"/>
        <w:gridCol w:w="1708"/>
        <w:gridCol w:w="1800"/>
        <w:gridCol w:w="1620"/>
      </w:tblGrid>
      <w:tr w:rsidR="007B1D5B" w14:paraId="50DE7DE3" w14:textId="77777777" w:rsidTr="001C00D5">
        <w:trPr>
          <w:jc w:val="center"/>
        </w:trPr>
        <w:tc>
          <w:tcPr>
            <w:tcW w:w="7465" w:type="dxa"/>
            <w:gridSpan w:val="4"/>
          </w:tcPr>
          <w:p w14:paraId="34C3A6B0" w14:textId="77777777" w:rsidR="007B1D5B" w:rsidRPr="00A324E2" w:rsidRDefault="007B1D5B" w:rsidP="001C00D5">
            <w:pPr>
              <w:spacing w:before="100" w:beforeAutospacing="1" w:after="100" w:afterAutospacing="1"/>
              <w:jc w:val="center"/>
              <w:textAlignment w:val="baseline"/>
              <w:rPr>
                <w:b/>
              </w:rPr>
            </w:pPr>
            <w:r>
              <w:rPr>
                <w:b/>
              </w:rPr>
              <w:t>DFW Metro Area ParkScore Results, Summary Table</w:t>
            </w:r>
          </w:p>
        </w:tc>
      </w:tr>
      <w:tr w:rsidR="007B1D5B" w14:paraId="2612A4C1" w14:textId="77777777" w:rsidTr="001C00D5">
        <w:trPr>
          <w:jc w:val="center"/>
        </w:trPr>
        <w:tc>
          <w:tcPr>
            <w:tcW w:w="2337" w:type="dxa"/>
          </w:tcPr>
          <w:p w14:paraId="0290400A" w14:textId="77777777" w:rsidR="007B1D5B" w:rsidRDefault="007B1D5B" w:rsidP="007B1D5B">
            <w:pPr>
              <w:spacing w:before="100" w:beforeAutospacing="1" w:after="100" w:afterAutospacing="1"/>
              <w:textAlignment w:val="baseline"/>
            </w:pPr>
          </w:p>
        </w:tc>
        <w:tc>
          <w:tcPr>
            <w:tcW w:w="1708" w:type="dxa"/>
          </w:tcPr>
          <w:p w14:paraId="72F5798D" w14:textId="63053C22" w:rsidR="007B1D5B" w:rsidRPr="001F5500" w:rsidRDefault="007B1D5B" w:rsidP="007B1D5B">
            <w:pPr>
              <w:spacing w:before="100" w:beforeAutospacing="1" w:after="100" w:afterAutospacing="1"/>
              <w:textAlignment w:val="baseline"/>
              <w:rPr>
                <w:b/>
              </w:rPr>
            </w:pPr>
            <w:r>
              <w:rPr>
                <w:b/>
              </w:rPr>
              <w:t>2020 Rank</w:t>
            </w:r>
          </w:p>
        </w:tc>
        <w:tc>
          <w:tcPr>
            <w:tcW w:w="1800" w:type="dxa"/>
          </w:tcPr>
          <w:p w14:paraId="4E44FFB9" w14:textId="0D39068C" w:rsidR="007B1D5B" w:rsidRPr="001F5500" w:rsidRDefault="007B1D5B" w:rsidP="007B1D5B">
            <w:pPr>
              <w:spacing w:before="100" w:beforeAutospacing="1" w:after="100" w:afterAutospacing="1"/>
              <w:textAlignment w:val="baseline"/>
              <w:rPr>
                <w:b/>
              </w:rPr>
            </w:pPr>
            <w:r w:rsidRPr="001F5500">
              <w:rPr>
                <w:b/>
              </w:rPr>
              <w:t>2019 Rank</w:t>
            </w:r>
          </w:p>
        </w:tc>
        <w:tc>
          <w:tcPr>
            <w:tcW w:w="1620" w:type="dxa"/>
          </w:tcPr>
          <w:p w14:paraId="48134388" w14:textId="6E2C4094" w:rsidR="007B1D5B" w:rsidRPr="001F5500" w:rsidRDefault="007B1D5B" w:rsidP="007B1D5B">
            <w:pPr>
              <w:spacing w:before="100" w:beforeAutospacing="1" w:after="100" w:afterAutospacing="1"/>
              <w:textAlignment w:val="baseline"/>
              <w:rPr>
                <w:b/>
              </w:rPr>
            </w:pPr>
            <w:r w:rsidRPr="001F5500">
              <w:rPr>
                <w:b/>
              </w:rPr>
              <w:t>2018 Rank</w:t>
            </w:r>
          </w:p>
        </w:tc>
      </w:tr>
      <w:tr w:rsidR="007B1D5B" w14:paraId="00702B39" w14:textId="77777777" w:rsidTr="001C00D5">
        <w:trPr>
          <w:jc w:val="center"/>
        </w:trPr>
        <w:tc>
          <w:tcPr>
            <w:tcW w:w="2337" w:type="dxa"/>
          </w:tcPr>
          <w:p w14:paraId="34474C9E" w14:textId="77777777" w:rsidR="007B1D5B" w:rsidRDefault="007B1D5B" w:rsidP="007B1D5B">
            <w:pPr>
              <w:spacing w:before="100" w:beforeAutospacing="1" w:after="100" w:afterAutospacing="1"/>
              <w:textAlignment w:val="baseline"/>
            </w:pPr>
            <w:r>
              <w:t>Plano</w:t>
            </w:r>
          </w:p>
        </w:tc>
        <w:tc>
          <w:tcPr>
            <w:tcW w:w="1708" w:type="dxa"/>
          </w:tcPr>
          <w:p w14:paraId="2E530E55" w14:textId="4BCC4C79" w:rsidR="007B1D5B" w:rsidRDefault="007B1D5B" w:rsidP="007B1D5B">
            <w:pPr>
              <w:spacing w:before="100" w:beforeAutospacing="1" w:after="100" w:afterAutospacing="1"/>
              <w:textAlignment w:val="baseline"/>
            </w:pPr>
            <w:r>
              <w:t>17</w:t>
            </w:r>
            <w:r w:rsidRPr="007B1D5B">
              <w:rPr>
                <w:vertAlign w:val="superscript"/>
              </w:rPr>
              <w:t>th</w:t>
            </w:r>
            <w:r>
              <w:t xml:space="preserve"> </w:t>
            </w:r>
          </w:p>
        </w:tc>
        <w:tc>
          <w:tcPr>
            <w:tcW w:w="1800" w:type="dxa"/>
          </w:tcPr>
          <w:p w14:paraId="4359B0EA" w14:textId="32B67310" w:rsidR="007B1D5B" w:rsidRDefault="007B1D5B" w:rsidP="007B1D5B">
            <w:pPr>
              <w:spacing w:before="100" w:beforeAutospacing="1" w:after="100" w:afterAutospacing="1"/>
              <w:textAlignment w:val="baseline"/>
            </w:pPr>
            <w:r>
              <w:t>15</w:t>
            </w:r>
            <w:r w:rsidRPr="00862569">
              <w:rPr>
                <w:vertAlign w:val="superscript"/>
              </w:rPr>
              <w:t>th</w:t>
            </w:r>
          </w:p>
        </w:tc>
        <w:tc>
          <w:tcPr>
            <w:tcW w:w="1620" w:type="dxa"/>
          </w:tcPr>
          <w:p w14:paraId="62E4D946" w14:textId="04FFFD08" w:rsidR="007B1D5B" w:rsidRDefault="007B1D5B" w:rsidP="007B1D5B">
            <w:pPr>
              <w:spacing w:before="100" w:beforeAutospacing="1" w:after="100" w:afterAutospacing="1"/>
              <w:textAlignment w:val="baseline"/>
            </w:pPr>
            <w:r>
              <w:t>18</w:t>
            </w:r>
            <w:r w:rsidRPr="00862569">
              <w:rPr>
                <w:vertAlign w:val="superscript"/>
              </w:rPr>
              <w:t>th</w:t>
            </w:r>
          </w:p>
        </w:tc>
      </w:tr>
      <w:tr w:rsidR="007B1D5B" w14:paraId="341B3D77" w14:textId="77777777" w:rsidTr="001C00D5">
        <w:trPr>
          <w:jc w:val="center"/>
        </w:trPr>
        <w:tc>
          <w:tcPr>
            <w:tcW w:w="2337" w:type="dxa"/>
          </w:tcPr>
          <w:p w14:paraId="6A36E68C" w14:textId="77777777" w:rsidR="007B1D5B" w:rsidRDefault="007B1D5B" w:rsidP="007B1D5B">
            <w:pPr>
              <w:spacing w:before="100" w:beforeAutospacing="1" w:after="100" w:afterAutospacing="1"/>
              <w:textAlignment w:val="baseline"/>
            </w:pPr>
            <w:r>
              <w:t>Dallas</w:t>
            </w:r>
          </w:p>
        </w:tc>
        <w:tc>
          <w:tcPr>
            <w:tcW w:w="1708" w:type="dxa"/>
          </w:tcPr>
          <w:p w14:paraId="57377595" w14:textId="0D2EA19F" w:rsidR="007B1D5B" w:rsidRDefault="007B1D5B" w:rsidP="007B1D5B">
            <w:pPr>
              <w:spacing w:before="100" w:beforeAutospacing="1" w:after="100" w:afterAutospacing="1"/>
              <w:textAlignment w:val="baseline"/>
            </w:pPr>
            <w:r>
              <w:t>54</w:t>
            </w:r>
            <w:r w:rsidRPr="007B1D5B">
              <w:rPr>
                <w:vertAlign w:val="superscript"/>
              </w:rPr>
              <w:t>th</w:t>
            </w:r>
          </w:p>
        </w:tc>
        <w:tc>
          <w:tcPr>
            <w:tcW w:w="1800" w:type="dxa"/>
          </w:tcPr>
          <w:p w14:paraId="05A6A994" w14:textId="6B9AD91F" w:rsidR="007B1D5B" w:rsidRDefault="007B1D5B" w:rsidP="007B1D5B">
            <w:pPr>
              <w:spacing w:before="100" w:beforeAutospacing="1" w:after="100" w:afterAutospacing="1"/>
              <w:textAlignment w:val="baseline"/>
            </w:pPr>
            <w:r>
              <w:t>52</w:t>
            </w:r>
            <w:r w:rsidRPr="006E71DB">
              <w:rPr>
                <w:vertAlign w:val="superscript"/>
              </w:rPr>
              <w:t>nd</w:t>
            </w:r>
            <w:r>
              <w:t xml:space="preserve"> </w:t>
            </w:r>
          </w:p>
        </w:tc>
        <w:tc>
          <w:tcPr>
            <w:tcW w:w="1620" w:type="dxa"/>
          </w:tcPr>
          <w:p w14:paraId="65C43B13" w14:textId="415C809B" w:rsidR="007B1D5B" w:rsidRDefault="007B1D5B" w:rsidP="007B1D5B">
            <w:pPr>
              <w:spacing w:before="100" w:beforeAutospacing="1" w:after="100" w:afterAutospacing="1"/>
              <w:textAlignment w:val="baseline"/>
            </w:pPr>
            <w:r>
              <w:t>49</w:t>
            </w:r>
            <w:r w:rsidRPr="006E71DB">
              <w:rPr>
                <w:vertAlign w:val="superscript"/>
              </w:rPr>
              <w:t>th</w:t>
            </w:r>
          </w:p>
        </w:tc>
      </w:tr>
      <w:tr w:rsidR="007B1D5B" w14:paraId="58326D49" w14:textId="77777777" w:rsidTr="001C00D5">
        <w:trPr>
          <w:jc w:val="center"/>
        </w:trPr>
        <w:tc>
          <w:tcPr>
            <w:tcW w:w="2337" w:type="dxa"/>
          </w:tcPr>
          <w:p w14:paraId="1411D7D9" w14:textId="77777777" w:rsidR="007B1D5B" w:rsidRDefault="007B1D5B" w:rsidP="007B1D5B">
            <w:pPr>
              <w:spacing w:before="100" w:beforeAutospacing="1" w:after="100" w:afterAutospacing="1"/>
              <w:textAlignment w:val="baseline"/>
            </w:pPr>
            <w:r>
              <w:t>Arlington</w:t>
            </w:r>
          </w:p>
        </w:tc>
        <w:tc>
          <w:tcPr>
            <w:tcW w:w="1708" w:type="dxa"/>
          </w:tcPr>
          <w:p w14:paraId="0B925C9A" w14:textId="773CE171" w:rsidR="007B1D5B" w:rsidRDefault="007B1D5B" w:rsidP="007B1D5B">
            <w:pPr>
              <w:spacing w:before="100" w:beforeAutospacing="1" w:after="100" w:afterAutospacing="1"/>
              <w:textAlignment w:val="baseline"/>
            </w:pPr>
            <w:r>
              <w:t>59</w:t>
            </w:r>
            <w:r w:rsidRPr="007B1D5B">
              <w:rPr>
                <w:vertAlign w:val="superscript"/>
              </w:rPr>
              <w:t>th</w:t>
            </w:r>
          </w:p>
        </w:tc>
        <w:tc>
          <w:tcPr>
            <w:tcW w:w="1800" w:type="dxa"/>
          </w:tcPr>
          <w:p w14:paraId="08F73F57" w14:textId="14BE92E0" w:rsidR="007B1D5B" w:rsidRDefault="007B1D5B" w:rsidP="007B1D5B">
            <w:pPr>
              <w:spacing w:before="100" w:beforeAutospacing="1" w:after="100" w:afterAutospacing="1"/>
              <w:textAlignment w:val="baseline"/>
            </w:pPr>
            <w:r>
              <w:t>68</w:t>
            </w:r>
            <w:r w:rsidRPr="006E71DB">
              <w:rPr>
                <w:vertAlign w:val="superscript"/>
              </w:rPr>
              <w:t>th</w:t>
            </w:r>
          </w:p>
        </w:tc>
        <w:tc>
          <w:tcPr>
            <w:tcW w:w="1620" w:type="dxa"/>
          </w:tcPr>
          <w:p w14:paraId="10459359" w14:textId="4683E492" w:rsidR="007B1D5B" w:rsidRDefault="007B1D5B" w:rsidP="007B1D5B">
            <w:pPr>
              <w:spacing w:before="100" w:beforeAutospacing="1" w:after="100" w:afterAutospacing="1"/>
              <w:textAlignment w:val="baseline"/>
            </w:pPr>
            <w:r>
              <w:t>63</w:t>
            </w:r>
            <w:r w:rsidRPr="006E71DB">
              <w:rPr>
                <w:vertAlign w:val="superscript"/>
              </w:rPr>
              <w:t>rd</w:t>
            </w:r>
          </w:p>
        </w:tc>
      </w:tr>
      <w:tr w:rsidR="007B1D5B" w14:paraId="7FD22009" w14:textId="77777777" w:rsidTr="001C00D5">
        <w:trPr>
          <w:jc w:val="center"/>
        </w:trPr>
        <w:tc>
          <w:tcPr>
            <w:tcW w:w="2337" w:type="dxa"/>
          </w:tcPr>
          <w:p w14:paraId="21976CF4" w14:textId="77777777" w:rsidR="007B1D5B" w:rsidRDefault="007B1D5B" w:rsidP="007B1D5B">
            <w:pPr>
              <w:spacing w:before="100" w:beforeAutospacing="1" w:after="100" w:afterAutospacing="1"/>
              <w:textAlignment w:val="baseline"/>
            </w:pPr>
            <w:r>
              <w:t>Garland</w:t>
            </w:r>
          </w:p>
        </w:tc>
        <w:tc>
          <w:tcPr>
            <w:tcW w:w="1708" w:type="dxa"/>
          </w:tcPr>
          <w:p w14:paraId="493B818A" w14:textId="5E5A297A" w:rsidR="007B1D5B" w:rsidRDefault="002125A5" w:rsidP="007B1D5B">
            <w:pPr>
              <w:spacing w:before="100" w:beforeAutospacing="1" w:after="100" w:afterAutospacing="1"/>
              <w:textAlignment w:val="baseline"/>
            </w:pPr>
            <w:r>
              <w:t>83</w:t>
            </w:r>
            <w:r w:rsidRPr="002125A5">
              <w:rPr>
                <w:vertAlign w:val="superscript"/>
              </w:rPr>
              <w:t>rd</w:t>
            </w:r>
            <w:r>
              <w:t xml:space="preserve"> </w:t>
            </w:r>
          </w:p>
        </w:tc>
        <w:tc>
          <w:tcPr>
            <w:tcW w:w="1800" w:type="dxa"/>
          </w:tcPr>
          <w:p w14:paraId="0AE56E1E" w14:textId="4CE47CE5" w:rsidR="007B1D5B" w:rsidRDefault="007B1D5B" w:rsidP="007B1D5B">
            <w:pPr>
              <w:spacing w:before="100" w:beforeAutospacing="1" w:after="100" w:afterAutospacing="1"/>
              <w:textAlignment w:val="baseline"/>
            </w:pPr>
            <w:r>
              <w:t>80</w:t>
            </w:r>
            <w:r w:rsidRPr="006E71DB">
              <w:rPr>
                <w:vertAlign w:val="superscript"/>
              </w:rPr>
              <w:t>th</w:t>
            </w:r>
            <w:r>
              <w:t xml:space="preserve"> </w:t>
            </w:r>
          </w:p>
        </w:tc>
        <w:tc>
          <w:tcPr>
            <w:tcW w:w="1620" w:type="dxa"/>
          </w:tcPr>
          <w:p w14:paraId="1EBE265A" w14:textId="0FA092C7" w:rsidR="007B1D5B" w:rsidRDefault="007B1D5B" w:rsidP="007B1D5B">
            <w:pPr>
              <w:spacing w:before="100" w:beforeAutospacing="1" w:after="100" w:afterAutospacing="1"/>
              <w:textAlignment w:val="baseline"/>
            </w:pPr>
            <w:r>
              <w:t>72</w:t>
            </w:r>
            <w:r w:rsidRPr="006E71DB">
              <w:rPr>
                <w:vertAlign w:val="superscript"/>
              </w:rPr>
              <w:t>nd</w:t>
            </w:r>
            <w:r>
              <w:t xml:space="preserve"> </w:t>
            </w:r>
          </w:p>
        </w:tc>
      </w:tr>
      <w:tr w:rsidR="007B1D5B" w14:paraId="32811599" w14:textId="77777777" w:rsidTr="001C00D5">
        <w:trPr>
          <w:jc w:val="center"/>
        </w:trPr>
        <w:tc>
          <w:tcPr>
            <w:tcW w:w="2337" w:type="dxa"/>
          </w:tcPr>
          <w:p w14:paraId="3B23F534" w14:textId="77777777" w:rsidR="007B1D5B" w:rsidRDefault="007B1D5B" w:rsidP="007B1D5B">
            <w:pPr>
              <w:spacing w:before="100" w:beforeAutospacing="1" w:after="100" w:afterAutospacing="1"/>
              <w:textAlignment w:val="baseline"/>
            </w:pPr>
            <w:r>
              <w:t>Irving</w:t>
            </w:r>
          </w:p>
        </w:tc>
        <w:tc>
          <w:tcPr>
            <w:tcW w:w="1708" w:type="dxa"/>
          </w:tcPr>
          <w:p w14:paraId="6D829026" w14:textId="089769EB" w:rsidR="007B1D5B" w:rsidRDefault="002125A5" w:rsidP="007B1D5B">
            <w:pPr>
              <w:spacing w:before="100" w:beforeAutospacing="1" w:after="100" w:afterAutospacing="1"/>
              <w:textAlignment w:val="baseline"/>
            </w:pPr>
            <w:r>
              <w:t>89</w:t>
            </w:r>
            <w:r w:rsidRPr="002125A5">
              <w:rPr>
                <w:vertAlign w:val="superscript"/>
              </w:rPr>
              <w:t>th</w:t>
            </w:r>
            <w:r>
              <w:t xml:space="preserve"> </w:t>
            </w:r>
          </w:p>
        </w:tc>
        <w:tc>
          <w:tcPr>
            <w:tcW w:w="1800" w:type="dxa"/>
          </w:tcPr>
          <w:p w14:paraId="44E0EDDA" w14:textId="1E2B9D68" w:rsidR="007B1D5B" w:rsidRDefault="007B1D5B" w:rsidP="007B1D5B">
            <w:pPr>
              <w:spacing w:before="100" w:beforeAutospacing="1" w:after="100" w:afterAutospacing="1"/>
              <w:textAlignment w:val="baseline"/>
            </w:pPr>
            <w:r>
              <w:t>88</w:t>
            </w:r>
            <w:r w:rsidRPr="00323C4D">
              <w:rPr>
                <w:vertAlign w:val="superscript"/>
              </w:rPr>
              <w:t>th</w:t>
            </w:r>
            <w:r>
              <w:t xml:space="preserve"> </w:t>
            </w:r>
          </w:p>
        </w:tc>
        <w:tc>
          <w:tcPr>
            <w:tcW w:w="1620" w:type="dxa"/>
          </w:tcPr>
          <w:p w14:paraId="04119B57" w14:textId="323727A7" w:rsidR="007B1D5B" w:rsidRDefault="007B1D5B" w:rsidP="007B1D5B">
            <w:pPr>
              <w:spacing w:before="100" w:beforeAutospacing="1" w:after="100" w:afterAutospacing="1"/>
              <w:textAlignment w:val="baseline"/>
            </w:pPr>
            <w:r>
              <w:t>82</w:t>
            </w:r>
            <w:r w:rsidRPr="00323C4D">
              <w:rPr>
                <w:vertAlign w:val="superscript"/>
              </w:rPr>
              <w:t>nd</w:t>
            </w:r>
            <w:r w:rsidRPr="003B7975">
              <w:t xml:space="preserve"> (Tie)</w:t>
            </w:r>
          </w:p>
        </w:tc>
      </w:tr>
      <w:tr w:rsidR="007B1D5B" w14:paraId="59B4C190" w14:textId="77777777" w:rsidTr="001C00D5">
        <w:trPr>
          <w:jc w:val="center"/>
        </w:trPr>
        <w:tc>
          <w:tcPr>
            <w:tcW w:w="2337" w:type="dxa"/>
          </w:tcPr>
          <w:p w14:paraId="1D2662E1" w14:textId="77777777" w:rsidR="007B1D5B" w:rsidRDefault="007B1D5B" w:rsidP="007B1D5B">
            <w:pPr>
              <w:spacing w:before="100" w:beforeAutospacing="1" w:after="100" w:afterAutospacing="1"/>
              <w:textAlignment w:val="baseline"/>
            </w:pPr>
            <w:r>
              <w:t>Fort Worth</w:t>
            </w:r>
          </w:p>
        </w:tc>
        <w:tc>
          <w:tcPr>
            <w:tcW w:w="1708" w:type="dxa"/>
          </w:tcPr>
          <w:p w14:paraId="64AC1279" w14:textId="28A92DC9" w:rsidR="007B1D5B" w:rsidRDefault="002125A5" w:rsidP="007B1D5B">
            <w:pPr>
              <w:spacing w:before="100" w:beforeAutospacing="1" w:after="100" w:afterAutospacing="1"/>
              <w:textAlignment w:val="baseline"/>
            </w:pPr>
            <w:r>
              <w:t>94</w:t>
            </w:r>
            <w:r w:rsidRPr="002125A5">
              <w:rPr>
                <w:vertAlign w:val="superscript"/>
              </w:rPr>
              <w:t>th</w:t>
            </w:r>
          </w:p>
        </w:tc>
        <w:tc>
          <w:tcPr>
            <w:tcW w:w="1800" w:type="dxa"/>
          </w:tcPr>
          <w:p w14:paraId="384DA9C3" w14:textId="08F8F75B" w:rsidR="007B1D5B" w:rsidRDefault="007B1D5B" w:rsidP="007B1D5B">
            <w:pPr>
              <w:spacing w:before="100" w:beforeAutospacing="1" w:after="100" w:afterAutospacing="1"/>
              <w:textAlignment w:val="baseline"/>
            </w:pPr>
            <w:r>
              <w:t>89</w:t>
            </w:r>
            <w:r w:rsidRPr="00323C4D">
              <w:rPr>
                <w:vertAlign w:val="superscript"/>
              </w:rPr>
              <w:t>th</w:t>
            </w:r>
          </w:p>
        </w:tc>
        <w:tc>
          <w:tcPr>
            <w:tcW w:w="1620" w:type="dxa"/>
          </w:tcPr>
          <w:p w14:paraId="167676B5" w14:textId="7EDE4B5A" w:rsidR="007B1D5B" w:rsidRDefault="007B1D5B" w:rsidP="007B1D5B">
            <w:pPr>
              <w:spacing w:before="100" w:beforeAutospacing="1" w:after="100" w:afterAutospacing="1"/>
              <w:textAlignment w:val="baseline"/>
            </w:pPr>
            <w:r>
              <w:t>82</w:t>
            </w:r>
            <w:r w:rsidRPr="00323C4D">
              <w:rPr>
                <w:vertAlign w:val="superscript"/>
              </w:rPr>
              <w:t>nd</w:t>
            </w:r>
            <w:r>
              <w:rPr>
                <w:vertAlign w:val="superscript"/>
              </w:rPr>
              <w:t xml:space="preserve"> </w:t>
            </w:r>
            <w:r w:rsidRPr="003B7975">
              <w:t>(Tie)</w:t>
            </w:r>
          </w:p>
        </w:tc>
      </w:tr>
    </w:tbl>
    <w:p w14:paraId="067299EB" w14:textId="77777777" w:rsidR="007B1D5B" w:rsidRDefault="007B1D5B" w:rsidP="007B1D5B">
      <w:pPr>
        <w:pStyle w:val="NoSpacing"/>
        <w:rPr>
          <w:color w:val="000000"/>
        </w:rPr>
      </w:pPr>
    </w:p>
    <w:p w14:paraId="558EA0C5" w14:textId="0F7600E8" w:rsidR="00102768" w:rsidRDefault="00102768" w:rsidP="00102768">
      <w:pPr>
        <w:spacing w:before="100" w:beforeAutospacing="1" w:after="100" w:afterAutospacing="1"/>
        <w:textAlignment w:val="baseline"/>
        <w:rPr>
          <w:color w:val="000000"/>
        </w:rPr>
      </w:pPr>
      <w:r>
        <w:rPr>
          <w:color w:val="000000"/>
        </w:rPr>
        <w:t>P</w:t>
      </w:r>
      <w:r w:rsidRPr="00C04E79">
        <w:rPr>
          <w:color w:val="000000"/>
        </w:rPr>
        <w:t xml:space="preserve">lano received high marks for its large median park size of 13.5 acres, more than </w:t>
      </w:r>
      <w:r>
        <w:rPr>
          <w:color w:val="000000"/>
        </w:rPr>
        <w:t>double</w:t>
      </w:r>
      <w:r w:rsidRPr="00C04E79">
        <w:rPr>
          <w:color w:val="000000"/>
        </w:rPr>
        <w:t xml:space="preserve"> the national ParkScore average of 5.</w:t>
      </w:r>
      <w:r w:rsidR="00067941">
        <w:rPr>
          <w:color w:val="000000"/>
        </w:rPr>
        <w:t>2</w:t>
      </w:r>
      <w:r w:rsidRPr="00C04E79">
        <w:rPr>
          <w:color w:val="000000"/>
        </w:rPr>
        <w:t xml:space="preserve"> acres. Plano was also the only area city to receive above-average marks for park access. According to ParkScore, 75</w:t>
      </w:r>
      <w:r w:rsidR="00C12977">
        <w:rPr>
          <w:color w:val="000000"/>
        </w:rPr>
        <w:t xml:space="preserve"> percent</w:t>
      </w:r>
      <w:r>
        <w:rPr>
          <w:color w:val="000000"/>
        </w:rPr>
        <w:t xml:space="preserve"> </w:t>
      </w:r>
      <w:r w:rsidRPr="00C04E79">
        <w:rPr>
          <w:color w:val="000000"/>
        </w:rPr>
        <w:t xml:space="preserve">of </w:t>
      </w:r>
      <w:r w:rsidR="00C12977">
        <w:rPr>
          <w:color w:val="000000"/>
        </w:rPr>
        <w:t>Plano</w:t>
      </w:r>
      <w:r w:rsidRPr="00C04E79">
        <w:rPr>
          <w:color w:val="000000"/>
        </w:rPr>
        <w:t xml:space="preserve"> residents live within a 10-minute walk of a park</w:t>
      </w:r>
      <w:r w:rsidRPr="00C04E79">
        <w:rPr>
          <w:rFonts w:ascii="Calibri" w:hAnsi="Calibri" w:cs="Calibri"/>
          <w:color w:val="000000"/>
        </w:rPr>
        <w:t xml:space="preserve">. </w:t>
      </w:r>
      <w:r w:rsidRPr="00C04E79">
        <w:t xml:space="preserve">Nationally, only </w:t>
      </w:r>
      <w:r>
        <w:t>72</w:t>
      </w:r>
      <w:r w:rsidR="00C12977">
        <w:t xml:space="preserve"> percent</w:t>
      </w:r>
      <w:r>
        <w:t xml:space="preserve"> </w:t>
      </w:r>
      <w:r w:rsidRPr="00C04E79">
        <w:t>of ParkScore city residents meet the 10-minute standard.</w:t>
      </w:r>
      <w:r w:rsidRPr="00C04E79">
        <w:rPr>
          <w:color w:val="000000"/>
        </w:rPr>
        <w:t xml:space="preserve"> However, Plano’s overall ranking was hurt by low scores for park amenities, including dog parks, recreation and senior centers</w:t>
      </w:r>
      <w:r>
        <w:rPr>
          <w:color w:val="000000"/>
        </w:rPr>
        <w:t>, and splashpads</w:t>
      </w:r>
      <w:r w:rsidR="00346A76">
        <w:rPr>
          <w:color w:val="000000"/>
        </w:rPr>
        <w:t>.</w:t>
      </w:r>
    </w:p>
    <w:p w14:paraId="18DD4D7B" w14:textId="18EC1725" w:rsidR="00346A76" w:rsidRPr="00C04E79" w:rsidRDefault="00346A76" w:rsidP="00102768">
      <w:pPr>
        <w:spacing w:before="100" w:beforeAutospacing="1" w:after="100" w:afterAutospacing="1"/>
        <w:textAlignment w:val="baseline"/>
      </w:pPr>
      <w:r w:rsidRPr="00C04E79">
        <w:rPr>
          <w:color w:val="000000"/>
        </w:rPr>
        <w:t xml:space="preserve">Arlington also features a large median park size (12.6 acres), </w:t>
      </w:r>
      <w:r w:rsidR="00034661">
        <w:rPr>
          <w:color w:val="000000"/>
        </w:rPr>
        <w:t xml:space="preserve">and its ParkScore was lifted by </w:t>
      </w:r>
      <w:r w:rsidR="005A09CC">
        <w:rPr>
          <w:color w:val="000000"/>
        </w:rPr>
        <w:t xml:space="preserve">a significant increase in parks spending this year, to $102 per resident, up from </w:t>
      </w:r>
      <w:r w:rsidRPr="00C04E79">
        <w:rPr>
          <w:color w:val="000000"/>
        </w:rPr>
        <w:t>$</w:t>
      </w:r>
      <w:r>
        <w:rPr>
          <w:color w:val="000000"/>
        </w:rPr>
        <w:t>92</w:t>
      </w:r>
      <w:r w:rsidRPr="00C04E79">
        <w:rPr>
          <w:color w:val="000000"/>
        </w:rPr>
        <w:t xml:space="preserve"> </w:t>
      </w:r>
      <w:r w:rsidR="005A09CC">
        <w:rPr>
          <w:color w:val="000000"/>
        </w:rPr>
        <w:t xml:space="preserve">last year and significantly </w:t>
      </w:r>
      <w:r w:rsidRPr="00C04E79">
        <w:rPr>
          <w:color w:val="000000"/>
        </w:rPr>
        <w:t>above the national ParkScore average</w:t>
      </w:r>
      <w:r w:rsidR="00030B95">
        <w:rPr>
          <w:color w:val="000000"/>
        </w:rPr>
        <w:t xml:space="preserve"> of $89</w:t>
      </w:r>
      <w:r w:rsidRPr="00C04E79">
        <w:rPr>
          <w:color w:val="000000"/>
        </w:rPr>
        <w:t xml:space="preserve">. </w:t>
      </w:r>
      <w:r>
        <w:rPr>
          <w:color w:val="000000"/>
        </w:rPr>
        <w:t>However,</w:t>
      </w:r>
      <w:r w:rsidRPr="00C04E79">
        <w:rPr>
          <w:color w:val="000000"/>
        </w:rPr>
        <w:t xml:space="preserve"> only 5</w:t>
      </w:r>
      <w:r w:rsidR="005A09CC">
        <w:rPr>
          <w:color w:val="000000"/>
        </w:rPr>
        <w:t>8</w:t>
      </w:r>
      <w:r w:rsidRPr="00C04E79">
        <w:rPr>
          <w:color w:val="000000"/>
        </w:rPr>
        <w:t xml:space="preserve"> percent of Arlington residents live within a 10-minute walk of a park. </w:t>
      </w:r>
    </w:p>
    <w:p w14:paraId="5BBA888C" w14:textId="214EF024" w:rsidR="00102768" w:rsidRPr="00C04E79" w:rsidRDefault="00102768" w:rsidP="00102768">
      <w:pPr>
        <w:spacing w:before="100" w:beforeAutospacing="1" w:after="100" w:afterAutospacing="1"/>
        <w:textAlignment w:val="baseline"/>
      </w:pPr>
      <w:r w:rsidRPr="43C229B2">
        <w:rPr>
          <w:color w:val="000000" w:themeColor="text1"/>
        </w:rPr>
        <w:t>Dallas features a large median park size of 7.7 acres, which is above the national ParkScore median of 5.</w:t>
      </w:r>
      <w:r w:rsidR="007672B3">
        <w:rPr>
          <w:color w:val="000000" w:themeColor="text1"/>
        </w:rPr>
        <w:t>2</w:t>
      </w:r>
      <w:r w:rsidRPr="43C229B2">
        <w:rPr>
          <w:color w:val="000000" w:themeColor="text1"/>
        </w:rPr>
        <w:t xml:space="preserve"> acres. The city</w:t>
      </w:r>
      <w:r w:rsidR="0003685C">
        <w:rPr>
          <w:color w:val="000000" w:themeColor="text1"/>
        </w:rPr>
        <w:t xml:space="preserve">’s park access </w:t>
      </w:r>
      <w:r w:rsidR="00C541AF">
        <w:rPr>
          <w:color w:val="000000" w:themeColor="text1"/>
        </w:rPr>
        <w:t xml:space="preserve">score has improved dramatically over the past five years and now ranks close the national ParkScore average, thanks largely to </w:t>
      </w:r>
      <w:r w:rsidR="00DE1350">
        <w:rPr>
          <w:color w:val="000000" w:themeColor="text1"/>
        </w:rPr>
        <w:t xml:space="preserve">new trail creation and joint use agreements that open </w:t>
      </w:r>
      <w:r w:rsidR="00124484">
        <w:rPr>
          <w:color w:val="000000" w:themeColor="text1"/>
        </w:rPr>
        <w:t xml:space="preserve">school campuses for public use </w:t>
      </w:r>
      <w:r w:rsidR="00320397">
        <w:rPr>
          <w:color w:val="000000" w:themeColor="text1"/>
        </w:rPr>
        <w:t>after</w:t>
      </w:r>
      <w:r w:rsidR="00124484">
        <w:rPr>
          <w:color w:val="000000" w:themeColor="text1"/>
        </w:rPr>
        <w:t xml:space="preserve"> school hours. </w:t>
      </w:r>
      <w:r w:rsidRPr="43C229B2">
        <w:rPr>
          <w:color w:val="000000" w:themeColor="text1"/>
        </w:rPr>
        <w:t xml:space="preserve">However, its </w:t>
      </w:r>
      <w:r w:rsidR="00070047">
        <w:rPr>
          <w:color w:val="000000" w:themeColor="text1"/>
        </w:rPr>
        <w:t xml:space="preserve">Dallas’ </w:t>
      </w:r>
      <w:r w:rsidRPr="43C229B2">
        <w:rPr>
          <w:color w:val="000000" w:themeColor="text1"/>
        </w:rPr>
        <w:t xml:space="preserve">overall ranking was hurt by comparatively low scores for park amenities, especially dog parks and restrooms. </w:t>
      </w:r>
    </w:p>
    <w:p w14:paraId="2F78D431" w14:textId="4486F554" w:rsidR="00102768" w:rsidRPr="00C04E79" w:rsidRDefault="00102768" w:rsidP="00102768">
      <w:pPr>
        <w:spacing w:before="100" w:beforeAutospacing="1" w:after="100" w:afterAutospacing="1"/>
        <w:textAlignment w:val="baseline"/>
      </w:pPr>
      <w:r w:rsidRPr="00C04E79">
        <w:rPr>
          <w:color w:val="000000"/>
        </w:rPr>
        <w:t xml:space="preserve">Garland followed the same </w:t>
      </w:r>
      <w:r>
        <w:rPr>
          <w:color w:val="000000"/>
        </w:rPr>
        <w:t xml:space="preserve">ParkScore </w:t>
      </w:r>
      <w:r w:rsidRPr="00C04E79">
        <w:rPr>
          <w:color w:val="000000"/>
        </w:rPr>
        <w:t xml:space="preserve">pattern, with a large median park size (9.6 acres) but below-average </w:t>
      </w:r>
      <w:r>
        <w:rPr>
          <w:color w:val="000000"/>
        </w:rPr>
        <w:t xml:space="preserve">marks for </w:t>
      </w:r>
      <w:r w:rsidRPr="00C04E79">
        <w:rPr>
          <w:color w:val="000000"/>
        </w:rPr>
        <w:t>park access (</w:t>
      </w:r>
      <w:r>
        <w:rPr>
          <w:color w:val="000000"/>
        </w:rPr>
        <w:t>6</w:t>
      </w:r>
      <w:r w:rsidR="00E7726F">
        <w:rPr>
          <w:color w:val="000000"/>
        </w:rPr>
        <w:t xml:space="preserve">3 percent </w:t>
      </w:r>
      <w:r w:rsidRPr="00C04E79">
        <w:rPr>
          <w:color w:val="000000"/>
        </w:rPr>
        <w:t xml:space="preserve">of residents within a 10-minute walk). </w:t>
      </w:r>
      <w:r w:rsidRPr="00C04E79">
        <w:rPr>
          <w:color w:val="000000"/>
        </w:rPr>
        <w:lastRenderedPageBreak/>
        <w:t xml:space="preserve">Garland’s ParkScore was also hurt by below-average marks for park amenities. </w:t>
      </w:r>
      <w:r>
        <w:rPr>
          <w:color w:val="000000"/>
        </w:rPr>
        <w:t>T</w:t>
      </w:r>
      <w:r w:rsidRPr="00265C0B">
        <w:rPr>
          <w:color w:val="000000"/>
        </w:rPr>
        <w:t>he city offers no dog parks or splashpads.</w:t>
      </w:r>
      <w:r w:rsidRPr="00C04E79">
        <w:t> </w:t>
      </w:r>
    </w:p>
    <w:p w14:paraId="4971315E" w14:textId="7D82EB0B" w:rsidR="00102768" w:rsidRDefault="00102768" w:rsidP="00102768">
      <w:pPr>
        <w:spacing w:before="100" w:beforeAutospacing="1" w:after="100" w:afterAutospacing="1"/>
        <w:textAlignment w:val="baseline"/>
      </w:pPr>
      <w:r w:rsidRPr="00C04E79">
        <w:rPr>
          <w:color w:val="000000"/>
        </w:rPr>
        <w:t>Irving reported a high number of playgrounds per resident (3.</w:t>
      </w:r>
      <w:r w:rsidR="00B86D5E">
        <w:rPr>
          <w:color w:val="000000"/>
        </w:rPr>
        <w:t>0</w:t>
      </w:r>
      <w:r w:rsidRPr="00C04E79">
        <w:rPr>
          <w:color w:val="000000"/>
        </w:rPr>
        <w:t xml:space="preserve"> per 10,000, above the national ParkScore average of 2.</w:t>
      </w:r>
      <w:r w:rsidR="00B86D5E">
        <w:rPr>
          <w:color w:val="000000"/>
        </w:rPr>
        <w:t>6</w:t>
      </w:r>
      <w:r w:rsidRPr="00C04E79">
        <w:rPr>
          <w:color w:val="000000"/>
        </w:rPr>
        <w:t>). However, the city’s ParkScore ranking was negatively affected by below-average park access marks</w:t>
      </w:r>
      <w:r>
        <w:rPr>
          <w:color w:val="000000"/>
        </w:rPr>
        <w:t>. O</w:t>
      </w:r>
      <w:r w:rsidRPr="00C04E79">
        <w:rPr>
          <w:color w:val="000000"/>
        </w:rPr>
        <w:t xml:space="preserve">nly </w:t>
      </w:r>
      <w:r>
        <w:rPr>
          <w:color w:val="000000"/>
        </w:rPr>
        <w:t>6</w:t>
      </w:r>
      <w:r w:rsidR="00514D63">
        <w:rPr>
          <w:color w:val="000000"/>
        </w:rPr>
        <w:t>4 percent</w:t>
      </w:r>
      <w:r w:rsidRPr="00C04E79">
        <w:rPr>
          <w:color w:val="000000"/>
        </w:rPr>
        <w:t xml:space="preserve"> of residents live within a 10-minute walk of a park</w:t>
      </w:r>
      <w:r>
        <w:rPr>
          <w:color w:val="000000"/>
        </w:rPr>
        <w:t>, compared to the national ParkScore average of 72</w:t>
      </w:r>
      <w:r w:rsidR="00BE7B41">
        <w:rPr>
          <w:color w:val="000000"/>
        </w:rPr>
        <w:t xml:space="preserve"> percent</w:t>
      </w:r>
      <w:r w:rsidRPr="00C04E79">
        <w:rPr>
          <w:color w:val="000000"/>
        </w:rPr>
        <w:t>.</w:t>
      </w:r>
      <w:r w:rsidRPr="00C04E79">
        <w:t> </w:t>
      </w:r>
    </w:p>
    <w:p w14:paraId="167FCDA0" w14:textId="39C1D0C0" w:rsidR="00102768" w:rsidRDefault="00102768" w:rsidP="00102768">
      <w:pPr>
        <w:rPr>
          <w:color w:val="000000"/>
        </w:rPr>
      </w:pPr>
      <w:r w:rsidRPr="00C04E79">
        <w:rPr>
          <w:color w:val="000000"/>
        </w:rPr>
        <w:t xml:space="preserve">Fort Worth </w:t>
      </w:r>
      <w:r>
        <w:rPr>
          <w:color w:val="000000"/>
        </w:rPr>
        <w:t>received</w:t>
      </w:r>
      <w:r w:rsidRPr="00C04E79">
        <w:rPr>
          <w:color w:val="000000"/>
        </w:rPr>
        <w:t xml:space="preserve"> above</w:t>
      </w:r>
      <w:r>
        <w:rPr>
          <w:color w:val="000000"/>
        </w:rPr>
        <w:t>-</w:t>
      </w:r>
      <w:r w:rsidRPr="00C04E79">
        <w:rPr>
          <w:color w:val="000000"/>
        </w:rPr>
        <w:t>average</w:t>
      </w:r>
      <w:r>
        <w:rPr>
          <w:color w:val="000000"/>
        </w:rPr>
        <w:t xml:space="preserve"> scores</w:t>
      </w:r>
      <w:r w:rsidRPr="00C04E79">
        <w:rPr>
          <w:color w:val="000000"/>
        </w:rPr>
        <w:t xml:space="preserve"> for median park size (7.7 acres) but also received </w:t>
      </w:r>
      <w:r w:rsidR="00867D18">
        <w:rPr>
          <w:color w:val="000000"/>
        </w:rPr>
        <w:t>low</w:t>
      </w:r>
      <w:r w:rsidRPr="00C04E79">
        <w:rPr>
          <w:color w:val="000000"/>
        </w:rPr>
        <w:t xml:space="preserve"> scores for park amenities. The city provides only 1.</w:t>
      </w:r>
      <w:r w:rsidR="00794947">
        <w:rPr>
          <w:color w:val="000000"/>
        </w:rPr>
        <w:t>2</w:t>
      </w:r>
      <w:r w:rsidRPr="00C04E79">
        <w:rPr>
          <w:color w:val="000000"/>
        </w:rPr>
        <w:t xml:space="preserve"> basketball hoops per 10,000 residents, </w:t>
      </w:r>
      <w:r w:rsidR="003448B6">
        <w:rPr>
          <w:color w:val="000000"/>
        </w:rPr>
        <w:t xml:space="preserve">less than </w:t>
      </w:r>
      <w:r>
        <w:rPr>
          <w:color w:val="000000"/>
        </w:rPr>
        <w:t>half</w:t>
      </w:r>
      <w:r w:rsidRPr="00C04E79">
        <w:rPr>
          <w:color w:val="000000"/>
        </w:rPr>
        <w:t xml:space="preserve"> the national ParkScore city </w:t>
      </w:r>
      <w:r>
        <w:rPr>
          <w:color w:val="000000"/>
        </w:rPr>
        <w:t>average</w:t>
      </w:r>
      <w:r w:rsidRPr="00C04E79">
        <w:rPr>
          <w:color w:val="000000"/>
        </w:rPr>
        <w:t xml:space="preserve"> of </w:t>
      </w:r>
      <w:r>
        <w:rPr>
          <w:color w:val="000000"/>
        </w:rPr>
        <w:t>3.</w:t>
      </w:r>
      <w:r w:rsidR="00794947">
        <w:rPr>
          <w:color w:val="000000"/>
        </w:rPr>
        <w:t>2</w:t>
      </w:r>
      <w:r>
        <w:rPr>
          <w:color w:val="000000"/>
        </w:rPr>
        <w:t xml:space="preserve">. It also operates only </w:t>
      </w:r>
      <w:r w:rsidRPr="00C04E79">
        <w:rPr>
          <w:color w:val="000000"/>
        </w:rPr>
        <w:t>0.</w:t>
      </w:r>
      <w:r>
        <w:rPr>
          <w:color w:val="000000"/>
        </w:rPr>
        <w:t>1</w:t>
      </w:r>
      <w:r w:rsidRPr="00C04E79">
        <w:rPr>
          <w:color w:val="000000"/>
        </w:rPr>
        <w:t xml:space="preserve"> splashpads per 100,000 residents, well under the ParkScore median of</w:t>
      </w:r>
      <w:r>
        <w:rPr>
          <w:color w:val="000000"/>
        </w:rPr>
        <w:t xml:space="preserve"> 1.2</w:t>
      </w:r>
    </w:p>
    <w:p w14:paraId="69B1889D" w14:textId="77777777" w:rsidR="0068657E" w:rsidRPr="003153BC" w:rsidRDefault="0068657E" w:rsidP="0068657E">
      <w:pPr>
        <w:pStyle w:val="NoSpacing"/>
        <w:rPr>
          <w:rFonts w:ascii="Times New Roman" w:hAnsi="Times New Roman" w:cs="Times New Roman"/>
          <w:sz w:val="24"/>
          <w:szCs w:val="24"/>
        </w:rPr>
      </w:pPr>
    </w:p>
    <w:p w14:paraId="55DB9F2A" w14:textId="68E46335" w:rsidR="00600E7C" w:rsidRDefault="00600E7C">
      <w:pPr>
        <w:rPr>
          <w:color w:val="000000"/>
        </w:rPr>
      </w:pPr>
      <w:r>
        <w:rPr>
          <w:color w:val="000000"/>
        </w:rPr>
        <w:t>Boston, Mass., reached the Top Ten for the first time since 2016, landing in ninth place and pushing rival New York into 11</w:t>
      </w:r>
      <w:r>
        <w:rPr>
          <w:color w:val="000000"/>
          <w:vertAlign w:val="superscript"/>
        </w:rPr>
        <w:t>th</w:t>
      </w:r>
      <w:r>
        <w:rPr>
          <w:color w:val="000000"/>
        </w:rPr>
        <w:t xml:space="preserve"> position. </w:t>
      </w:r>
      <w:r w:rsidR="00BE7B41">
        <w:rPr>
          <w:color w:val="000000"/>
        </w:rPr>
        <w:t>Boston and San Francisco, Calif. (eighth place), are the only ParkScore cities where 100 percent of residents have a park of public open space within a 10-minute walk of home.</w:t>
      </w:r>
    </w:p>
    <w:p w14:paraId="1CBEE9BC" w14:textId="77777777" w:rsidR="00BE7B41" w:rsidRDefault="00BE7B41">
      <w:pPr>
        <w:rPr>
          <w:color w:val="000000"/>
        </w:rPr>
      </w:pPr>
    </w:p>
    <w:p w14:paraId="025789E2" w14:textId="40E615B5" w:rsidR="00CE5AFE" w:rsidRDefault="00404E0A">
      <w:pPr>
        <w:rPr>
          <w:color w:val="000000"/>
        </w:rPr>
      </w:pPr>
      <w:r>
        <w:rPr>
          <w:color w:val="000000"/>
        </w:rPr>
        <w:t xml:space="preserve">Boise, Idaho, defended its title as the best park system for dogs, with a nation-leading 6.0 dog parks per 100,000 residents, narrowly beating Portland, Ore. Irvine, Calif., received top marks for basketball hoops, Madison, Wis., scored best for playgrounds, and Cleveland, Ohio, earned top marks for splash pads and other water features. </w:t>
      </w:r>
    </w:p>
    <w:p w14:paraId="7908062E" w14:textId="43E21A8E" w:rsidR="00E44E1F" w:rsidRDefault="00E44E1F">
      <w:pPr>
        <w:rPr>
          <w:color w:val="000000"/>
        </w:rPr>
      </w:pPr>
    </w:p>
    <w:p w14:paraId="54219F90" w14:textId="7215B5AE" w:rsidR="00E44E1F" w:rsidRDefault="009C73F9">
      <w:pPr>
        <w:rPr>
          <w:color w:val="000000"/>
        </w:rPr>
      </w:pPr>
      <w:r>
        <w:rPr>
          <w:color w:val="000000"/>
        </w:rPr>
        <w:t>ParkScore report</w:t>
      </w:r>
      <w:r w:rsidR="00B96FB1">
        <w:rPr>
          <w:color w:val="000000"/>
        </w:rPr>
        <w:t>s that the</w:t>
      </w:r>
      <w:r w:rsidR="00E44E1F">
        <w:rPr>
          <w:color w:val="000000"/>
        </w:rPr>
        <w:t xml:space="preserve"> number of </w:t>
      </w:r>
      <w:r w:rsidR="00C15B37">
        <w:rPr>
          <w:color w:val="000000"/>
        </w:rPr>
        <w:t xml:space="preserve">playgrounds </w:t>
      </w:r>
      <w:r w:rsidR="00B96FB1">
        <w:rPr>
          <w:color w:val="000000"/>
        </w:rPr>
        <w:t>available</w:t>
      </w:r>
      <w:r w:rsidR="00C15B37">
        <w:rPr>
          <w:color w:val="000000"/>
        </w:rPr>
        <w:t xml:space="preserve"> nationally </w:t>
      </w:r>
      <w:r w:rsidR="00B96FB1">
        <w:rPr>
          <w:color w:val="000000"/>
        </w:rPr>
        <w:t xml:space="preserve">increased </w:t>
      </w:r>
      <w:r w:rsidR="00C15B37">
        <w:rPr>
          <w:color w:val="000000"/>
        </w:rPr>
        <w:t xml:space="preserve">by </w:t>
      </w:r>
      <w:r w:rsidR="00021985">
        <w:rPr>
          <w:color w:val="000000"/>
        </w:rPr>
        <w:t>3.6</w:t>
      </w:r>
      <w:r w:rsidR="00C15B37">
        <w:rPr>
          <w:color w:val="000000"/>
        </w:rPr>
        <w:t xml:space="preserve"> percent </w:t>
      </w:r>
      <w:r w:rsidR="00D702B0">
        <w:rPr>
          <w:color w:val="000000"/>
        </w:rPr>
        <w:t>since</w:t>
      </w:r>
      <w:r w:rsidR="00743FEF">
        <w:rPr>
          <w:color w:val="000000"/>
        </w:rPr>
        <w:t xml:space="preserve"> last year, largely because of “shared use” agreements that open </w:t>
      </w:r>
      <w:r w:rsidR="009C4542">
        <w:rPr>
          <w:color w:val="000000"/>
        </w:rPr>
        <w:t xml:space="preserve">school playgrounds for neighborhood use after school hours and on weekends. </w:t>
      </w:r>
      <w:r w:rsidR="00F5501D">
        <w:rPr>
          <w:color w:val="000000"/>
        </w:rPr>
        <w:t>The number of d</w:t>
      </w:r>
      <w:r w:rsidR="00E44E1F">
        <w:rPr>
          <w:color w:val="000000"/>
        </w:rPr>
        <w:t>og parks</w:t>
      </w:r>
      <w:r w:rsidR="009C4542">
        <w:rPr>
          <w:color w:val="000000"/>
        </w:rPr>
        <w:t xml:space="preserve"> </w:t>
      </w:r>
      <w:r w:rsidR="00F5501D">
        <w:rPr>
          <w:color w:val="000000"/>
        </w:rPr>
        <w:t xml:space="preserve">increased by </w:t>
      </w:r>
      <w:r w:rsidR="00021985">
        <w:rPr>
          <w:color w:val="000000"/>
        </w:rPr>
        <w:t xml:space="preserve">nearly </w:t>
      </w:r>
      <w:r w:rsidR="00F5501D">
        <w:rPr>
          <w:color w:val="000000"/>
        </w:rPr>
        <w:t>four percent</w:t>
      </w:r>
      <w:r w:rsidR="002C21F6">
        <w:rPr>
          <w:color w:val="000000"/>
        </w:rPr>
        <w:t xml:space="preserve">, </w:t>
      </w:r>
      <w:r w:rsidR="00F5501D">
        <w:rPr>
          <w:color w:val="000000"/>
        </w:rPr>
        <w:t xml:space="preserve">continuing </w:t>
      </w:r>
      <w:r w:rsidR="002C21F6">
        <w:rPr>
          <w:color w:val="000000"/>
        </w:rPr>
        <w:t>the trend first reported by The Trust for Public Land five years ago.</w:t>
      </w:r>
    </w:p>
    <w:p w14:paraId="73515467" w14:textId="77777777" w:rsidR="00CE5AFE" w:rsidRDefault="00CE5AFE">
      <w:pPr>
        <w:rPr>
          <w:color w:val="000000"/>
        </w:rPr>
      </w:pPr>
    </w:p>
    <w:p w14:paraId="121FE132" w14:textId="77777777" w:rsidR="00CE5AFE" w:rsidRDefault="00404E0A">
      <w:pPr>
        <w:rPr>
          <w:b/>
          <w:color w:val="000000"/>
        </w:rPr>
      </w:pPr>
      <w:r>
        <w:rPr>
          <w:b/>
          <w:color w:val="000000"/>
        </w:rPr>
        <w:t>INEQUITY AND COVID-RELATED BUDGET CUTS TOP PARKSCORE CONCERNS</w:t>
      </w:r>
    </w:p>
    <w:p w14:paraId="6C0EE340" w14:textId="77777777" w:rsidR="00CE5AFE" w:rsidRDefault="00CE5AFE">
      <w:pPr>
        <w:pBdr>
          <w:top w:val="nil"/>
          <w:left w:val="nil"/>
          <w:bottom w:val="nil"/>
          <w:right w:val="nil"/>
          <w:between w:val="nil"/>
        </w:pBdr>
      </w:pPr>
    </w:p>
    <w:p w14:paraId="1230EEE9" w14:textId="28E039B3" w:rsidR="00CE5AFE" w:rsidRDefault="00404E0A">
      <w:pPr>
        <w:pBdr>
          <w:top w:val="nil"/>
          <w:left w:val="nil"/>
          <w:bottom w:val="nil"/>
          <w:right w:val="nil"/>
          <w:between w:val="nil"/>
        </w:pBdr>
        <w:rPr>
          <w:color w:val="000000"/>
        </w:rPr>
      </w:pPr>
      <w:r>
        <w:rPr>
          <w:color w:val="000000"/>
        </w:rPr>
        <w:t xml:space="preserve">ParkScore reports significant inequities in park access between large city park systems. For example, more than 98 percent of residents in </w:t>
      </w:r>
      <w:proofErr w:type="spellStart"/>
      <w:r>
        <w:rPr>
          <w:color w:val="000000"/>
        </w:rPr>
        <w:t>ParkScore’s</w:t>
      </w:r>
      <w:proofErr w:type="spellEnd"/>
      <w:r>
        <w:rPr>
          <w:color w:val="000000"/>
        </w:rPr>
        <w:t xml:space="preserve"> three highest ranking park systems </w:t>
      </w:r>
      <w:r w:rsidR="00D07150">
        <w:rPr>
          <w:color w:val="000000"/>
        </w:rPr>
        <w:t xml:space="preserve">(Minneapolis, Washington, and Saint Paul) </w:t>
      </w:r>
      <w:r>
        <w:rPr>
          <w:color w:val="000000"/>
        </w:rPr>
        <w:t xml:space="preserve">enjoy 10-minute </w:t>
      </w:r>
      <w:r w:rsidR="00045AA9">
        <w:rPr>
          <w:color w:val="000000"/>
        </w:rPr>
        <w:t xml:space="preserve">walk </w:t>
      </w:r>
      <w:r>
        <w:rPr>
          <w:color w:val="000000"/>
        </w:rPr>
        <w:t xml:space="preserve">access to a park, compared to </w:t>
      </w:r>
      <w:r w:rsidR="00021985">
        <w:rPr>
          <w:color w:val="000000"/>
        </w:rPr>
        <w:t>47</w:t>
      </w:r>
      <w:r>
        <w:rPr>
          <w:color w:val="000000"/>
        </w:rPr>
        <w:t xml:space="preserve"> percent in the three lowest ranking systems (Charlotte, N.C., Mesa, Ariz., and Oklahoma City, Okla.). </w:t>
      </w:r>
    </w:p>
    <w:p w14:paraId="7A4A2068" w14:textId="77777777" w:rsidR="00CE5AFE" w:rsidRDefault="00CE5AFE">
      <w:pPr>
        <w:pBdr>
          <w:top w:val="nil"/>
          <w:left w:val="nil"/>
          <w:bottom w:val="nil"/>
          <w:right w:val="nil"/>
          <w:between w:val="nil"/>
        </w:pBdr>
      </w:pPr>
    </w:p>
    <w:p w14:paraId="17DAC604" w14:textId="05F29B90" w:rsidR="000A3FD7" w:rsidRDefault="000A3FD7" w:rsidP="000A3FD7">
      <w:pPr>
        <w:rPr>
          <w:color w:val="000000"/>
        </w:rPr>
      </w:pPr>
      <w:r>
        <w:rPr>
          <w:color w:val="000000"/>
          <w:shd w:val="clear" w:color="auto" w:fill="FFFFFF"/>
        </w:rPr>
        <w:t>“Across the United States, 100 million</w:t>
      </w:r>
      <w:r w:rsidR="00AE38FE">
        <w:rPr>
          <w:color w:val="000000"/>
          <w:shd w:val="clear" w:color="auto" w:fill="FFFFFF"/>
        </w:rPr>
        <w:t xml:space="preserve"> people—including 28</w:t>
      </w:r>
      <w:r>
        <w:rPr>
          <w:color w:val="000000"/>
          <w:shd w:val="clear" w:color="auto" w:fill="FFFFFF"/>
        </w:rPr>
        <w:t xml:space="preserve"> million children—lack access to a quality park close to home. These inequities exist not only between cities but also within them. Low-income neighborhoods do not get their fair share of park investment, which is a missed opportunity to prevent long-term health and climate inequities. At the Trust for Public Land, we are striving for a park-rich future that offers inclusive public space for everyone to lead healthier, happier, lives,” </w:t>
      </w:r>
      <w:r>
        <w:rPr>
          <w:color w:val="000000"/>
        </w:rPr>
        <w:t xml:space="preserve">says Diane </w:t>
      </w:r>
      <w:proofErr w:type="spellStart"/>
      <w:r>
        <w:rPr>
          <w:color w:val="000000"/>
        </w:rPr>
        <w:t>Regas</w:t>
      </w:r>
      <w:proofErr w:type="spellEnd"/>
      <w:r>
        <w:rPr>
          <w:color w:val="000000"/>
        </w:rPr>
        <w:t xml:space="preserve">, President and CEO of The Trust for Public Land. </w:t>
      </w:r>
    </w:p>
    <w:p w14:paraId="3EEB4532" w14:textId="77777777" w:rsidR="000A3FD7" w:rsidRDefault="000A3FD7" w:rsidP="000A3FD7">
      <w:pPr>
        <w:rPr>
          <w:color w:val="000000"/>
          <w:shd w:val="clear" w:color="auto" w:fill="FFFFFF"/>
        </w:rPr>
      </w:pPr>
    </w:p>
    <w:p w14:paraId="62CA5C6A" w14:textId="77777777" w:rsidR="000A3FD7" w:rsidRDefault="000A3FD7" w:rsidP="000A3FD7">
      <w:r>
        <w:rPr>
          <w:color w:val="1D1C1D"/>
          <w:shd w:val="clear" w:color="auto" w:fill="FFFFFF"/>
        </w:rPr>
        <w:t xml:space="preserve">“Parks are a critical part of health and wellness—reducing anxiety, stress, and depression and improving physical health—all the more necessary during this public health emergency,” </w:t>
      </w:r>
      <w:r>
        <w:rPr>
          <w:color w:val="000000"/>
          <w:shd w:val="clear" w:color="auto" w:fill="FFFFFF"/>
        </w:rPr>
        <w:t xml:space="preserve">says </w:t>
      </w:r>
      <w:r>
        <w:rPr>
          <w:color w:val="000000"/>
          <w:shd w:val="clear" w:color="auto" w:fill="FFFFFF"/>
        </w:rPr>
        <w:lastRenderedPageBreak/>
        <w:t>Sadiya Muqueeth, DrPH, MPH, Director of Community Health at the Trust for Public Land. “</w:t>
      </w:r>
      <w:r>
        <w:rPr>
          <w:color w:val="000000"/>
        </w:rPr>
        <w:t xml:space="preserve">Sunlight, fresh air, exercise, and access to nature all have a positive effect on our physical health and emotional wellbeing.” </w:t>
      </w:r>
    </w:p>
    <w:p w14:paraId="4E16126F" w14:textId="77777777" w:rsidR="00CE5AFE" w:rsidRDefault="00CE5AFE">
      <w:pPr>
        <w:pBdr>
          <w:top w:val="nil"/>
          <w:left w:val="nil"/>
          <w:bottom w:val="nil"/>
          <w:right w:val="nil"/>
          <w:between w:val="nil"/>
        </w:pBdr>
      </w:pPr>
    </w:p>
    <w:p w14:paraId="6EE4D6C3" w14:textId="77021100" w:rsidR="00CE5AFE" w:rsidRDefault="00404E0A">
      <w:pPr>
        <w:pBdr>
          <w:top w:val="nil"/>
          <w:left w:val="nil"/>
          <w:bottom w:val="nil"/>
          <w:right w:val="nil"/>
          <w:between w:val="nil"/>
        </w:pBdr>
        <w:rPr>
          <w:color w:val="000000"/>
        </w:rPr>
      </w:pPr>
      <w:r>
        <w:rPr>
          <w:color w:val="000000"/>
        </w:rPr>
        <w:t xml:space="preserve">Analysts at The Trust for Public Land also warned that the economic downturn caused by the COVID-19 pandemic </w:t>
      </w:r>
      <w:r w:rsidR="00045AA9">
        <w:rPr>
          <w:color w:val="000000"/>
        </w:rPr>
        <w:t xml:space="preserve">will </w:t>
      </w:r>
      <w:r>
        <w:rPr>
          <w:color w:val="000000"/>
        </w:rPr>
        <w:t xml:space="preserve">strain municipal budgets and threaten progress on parks. </w:t>
      </w:r>
      <w:r w:rsidR="00756AC5">
        <w:rPr>
          <w:color w:val="000000"/>
        </w:rPr>
        <w:t xml:space="preserve">Last week, Dallas furloughed </w:t>
      </w:r>
      <w:r w:rsidR="008612F4">
        <w:rPr>
          <w:color w:val="000000"/>
        </w:rPr>
        <w:t xml:space="preserve">235 Park and Recreation Department employees, </w:t>
      </w:r>
      <w:r w:rsidR="00497655">
        <w:rPr>
          <w:color w:val="000000"/>
        </w:rPr>
        <w:t>citing a $25 million budget shortfall.</w:t>
      </w:r>
    </w:p>
    <w:p w14:paraId="76C77B62" w14:textId="77777777" w:rsidR="00021985" w:rsidRDefault="00021985" w:rsidP="00514D63">
      <w:pPr>
        <w:pStyle w:val="xmsonormal"/>
        <w:rPr>
          <w:rFonts w:ascii="Times New Roman" w:hAnsi="Times New Roman" w:cs="Times New Roman"/>
          <w:color w:val="000000"/>
          <w:sz w:val="24"/>
          <w:szCs w:val="24"/>
        </w:rPr>
      </w:pPr>
    </w:p>
    <w:p w14:paraId="67CB21A8" w14:textId="39A621C2" w:rsidR="00514D63" w:rsidRPr="00FE38B3" w:rsidRDefault="009E2E27" w:rsidP="00514D63">
      <w:pPr>
        <w:pStyle w:val="xmsonormal"/>
        <w:rPr>
          <w:rFonts w:ascii="Times New Roman" w:hAnsi="Times New Roman" w:cs="Times New Roman"/>
          <w:sz w:val="24"/>
          <w:szCs w:val="24"/>
        </w:rPr>
      </w:pPr>
      <w:r>
        <w:rPr>
          <w:rFonts w:ascii="Times New Roman" w:hAnsi="Times New Roman" w:cs="Times New Roman"/>
          <w:color w:val="000000"/>
          <w:sz w:val="24"/>
          <w:szCs w:val="24"/>
        </w:rPr>
        <w:t>k</w:t>
      </w:r>
    </w:p>
    <w:p w14:paraId="29122AF2" w14:textId="77777777" w:rsidR="00CE5AFE" w:rsidRPr="00FE38B3" w:rsidRDefault="00CE5AFE">
      <w:pPr>
        <w:pBdr>
          <w:top w:val="nil"/>
          <w:left w:val="nil"/>
          <w:bottom w:val="nil"/>
          <w:right w:val="nil"/>
          <w:between w:val="nil"/>
        </w:pBdr>
        <w:rPr>
          <w:color w:val="000000"/>
        </w:rPr>
      </w:pPr>
    </w:p>
    <w:p w14:paraId="4B646609" w14:textId="5B722F70" w:rsidR="00847839" w:rsidRPr="002740D0" w:rsidRDefault="00847839" w:rsidP="00847839">
      <w:r w:rsidRPr="00FE38B3">
        <w:rPr>
          <w:color w:val="000000"/>
        </w:rPr>
        <w:t>Following the 2007-2008 economic crisis, parks budgets were slashed across the nation by approximately 20 p</w:t>
      </w:r>
      <w:r>
        <w:rPr>
          <w:color w:val="000000"/>
        </w:rPr>
        <w:t xml:space="preserve">ercent, which slowed new park acquisition and improvements for several years. </w:t>
      </w:r>
    </w:p>
    <w:p w14:paraId="4277D919" w14:textId="77777777" w:rsidR="00CE5AFE" w:rsidRDefault="00CE5AFE">
      <w:pPr>
        <w:rPr>
          <w:highlight w:val="yellow"/>
        </w:rPr>
      </w:pPr>
    </w:p>
    <w:p w14:paraId="5190F8E4" w14:textId="4E9A2C4E" w:rsidR="00CE5AFE" w:rsidRDefault="00F87ECC">
      <w:pPr>
        <w:rPr>
          <w:color w:val="000000"/>
        </w:rPr>
      </w:pPr>
      <w:r>
        <w:rPr>
          <w:b/>
        </w:rPr>
        <w:t>PARKSCORE METHODOLOGY AND RANKINGS</w:t>
      </w:r>
    </w:p>
    <w:p w14:paraId="41A93458" w14:textId="77777777" w:rsidR="00CE5AFE" w:rsidRDefault="00CE5AFE">
      <w:pPr>
        <w:rPr>
          <w:color w:val="000000"/>
        </w:rPr>
      </w:pPr>
    </w:p>
    <w:p w14:paraId="1349F4EE" w14:textId="77777777" w:rsidR="00CE5AFE" w:rsidRDefault="00404E0A">
      <w:pPr>
        <w:rPr>
          <w:color w:val="000000"/>
        </w:rPr>
      </w:pPr>
      <w:r>
        <w:t xml:space="preserve">ParkScore rankings are based equally on four factors: </w:t>
      </w:r>
      <w:r>
        <w:rPr>
          <w:b/>
        </w:rPr>
        <w:t>park access,</w:t>
      </w:r>
      <w:r>
        <w:t xml:space="preserve"> which measures the percentage of residents living within a</w:t>
      </w:r>
      <w:r>
        <w:rPr>
          <w:color w:val="000000"/>
        </w:rPr>
        <w:t xml:space="preserve"> 10-minute walk of a park; </w:t>
      </w:r>
      <w:r>
        <w:rPr>
          <w:b/>
          <w:color w:val="000000"/>
        </w:rPr>
        <w:t>park acreage,</w:t>
      </w:r>
      <w:r>
        <w:rPr>
          <w:color w:val="000000"/>
        </w:rPr>
        <w:t xml:space="preserve"> which is based on a city’s median park size and the percentage of city area dedicated to parks; </w:t>
      </w:r>
      <w:r>
        <w:rPr>
          <w:b/>
          <w:color w:val="000000"/>
        </w:rPr>
        <w:t>park investment,</w:t>
      </w:r>
      <w:r>
        <w:rPr>
          <w:color w:val="000000"/>
        </w:rPr>
        <w:t xml:space="preserve"> which measures park spending per resident; and </w:t>
      </w:r>
      <w:r>
        <w:rPr>
          <w:b/>
          <w:color w:val="000000"/>
        </w:rPr>
        <w:t>park amenities,</w:t>
      </w:r>
      <w:r>
        <w:rPr>
          <w:color w:val="000000"/>
        </w:rPr>
        <w:t xml:space="preserve"> which counts the availability of six popular park features: basketball hoops, off-leash dog parks, playgrounds, “splash pads” and other water play structures, recreation and senior centers, and restrooms. </w:t>
      </w:r>
    </w:p>
    <w:p w14:paraId="17460397" w14:textId="77777777" w:rsidR="00CE5AFE" w:rsidRDefault="00CE5AFE">
      <w:pPr>
        <w:rPr>
          <w:color w:val="000000"/>
        </w:rPr>
      </w:pPr>
    </w:p>
    <w:p w14:paraId="41E14F12" w14:textId="77777777" w:rsidR="007F6706" w:rsidRDefault="007F6706" w:rsidP="007F6706">
      <w:pPr>
        <w:rPr>
          <w:color w:val="000000"/>
        </w:rPr>
      </w:pPr>
      <w:r>
        <w:rPr>
          <w:color w:val="000000"/>
        </w:rPr>
        <w:t>According to The Trust for Public Land, the 10 highest ranking park systems in the United States are:</w:t>
      </w:r>
    </w:p>
    <w:p w14:paraId="7BA33DE0" w14:textId="77777777" w:rsidR="007F6706" w:rsidRDefault="007F6706" w:rsidP="007F6706">
      <w:pPr>
        <w:tabs>
          <w:tab w:val="left" w:pos="1530"/>
          <w:tab w:val="left" w:pos="2250"/>
          <w:tab w:val="left" w:pos="4140"/>
          <w:tab w:val="left" w:pos="4410"/>
          <w:tab w:val="left" w:pos="4500"/>
        </w:tabs>
        <w:rPr>
          <w:color w:val="000000"/>
        </w:rPr>
      </w:pPr>
    </w:p>
    <w:p w14:paraId="4089C07F" w14:textId="77777777" w:rsidR="007F6706" w:rsidRDefault="007F6706" w:rsidP="007F6706">
      <w:pPr>
        <w:tabs>
          <w:tab w:val="left" w:pos="1710"/>
          <w:tab w:val="left" w:pos="2520"/>
          <w:tab w:val="left" w:pos="4500"/>
        </w:tabs>
        <w:rPr>
          <w:b/>
          <w:color w:val="000000"/>
        </w:rPr>
      </w:pPr>
      <w:bookmarkStart w:id="0" w:name="_gjdgxs" w:colFirst="0" w:colLast="0"/>
      <w:bookmarkEnd w:id="0"/>
      <w:r>
        <w:rPr>
          <w:color w:val="000000"/>
        </w:rPr>
        <w:tab/>
      </w:r>
      <w:r>
        <w:rPr>
          <w:b/>
          <w:color w:val="000000"/>
        </w:rPr>
        <w:t>Rank</w:t>
      </w:r>
      <w:r>
        <w:rPr>
          <w:b/>
          <w:color w:val="000000"/>
        </w:rPr>
        <w:tab/>
        <w:t>City</w:t>
      </w:r>
      <w:r>
        <w:rPr>
          <w:b/>
          <w:color w:val="000000"/>
        </w:rPr>
        <w:tab/>
        <w:t>ParkScore (Max: 100)</w:t>
      </w:r>
      <w:r>
        <w:rPr>
          <w:color w:val="000000"/>
        </w:rPr>
        <w:tab/>
      </w:r>
      <w:r>
        <w:rPr>
          <w:color w:val="000000"/>
        </w:rPr>
        <w:tab/>
      </w:r>
    </w:p>
    <w:p w14:paraId="7FAAA75E" w14:textId="77777777" w:rsidR="007F6706" w:rsidRDefault="007F6706" w:rsidP="007F6706">
      <w:pPr>
        <w:widowControl w:val="0"/>
        <w:tabs>
          <w:tab w:val="left" w:pos="1710"/>
          <w:tab w:val="left" w:pos="2340"/>
          <w:tab w:val="left" w:pos="2520"/>
          <w:tab w:val="left" w:pos="4500"/>
        </w:tabs>
        <w:rPr>
          <w:color w:val="000000"/>
        </w:rPr>
      </w:pPr>
      <w:r>
        <w:rPr>
          <w:color w:val="000000"/>
        </w:rPr>
        <w:t> </w:t>
      </w:r>
      <w:r>
        <w:rPr>
          <w:color w:val="000000"/>
        </w:rPr>
        <w:tab/>
        <w:t xml:space="preserve">1.       Minneapolis, MN </w:t>
      </w:r>
      <w:r>
        <w:rPr>
          <w:color w:val="000000"/>
        </w:rPr>
        <w:tab/>
        <w:t>85.3</w:t>
      </w:r>
    </w:p>
    <w:p w14:paraId="50E3BC2E" w14:textId="77777777" w:rsidR="007F6706" w:rsidRDefault="007F6706" w:rsidP="007F6706">
      <w:pPr>
        <w:widowControl w:val="0"/>
        <w:tabs>
          <w:tab w:val="left" w:pos="1710"/>
          <w:tab w:val="left" w:pos="2340"/>
          <w:tab w:val="left" w:pos="2520"/>
          <w:tab w:val="left" w:pos="4500"/>
        </w:tabs>
        <w:ind w:left="4410" w:hanging="2700"/>
        <w:rPr>
          <w:color w:val="000000"/>
        </w:rPr>
      </w:pPr>
      <w:r>
        <w:rPr>
          <w:color w:val="000000"/>
        </w:rPr>
        <w:t xml:space="preserve">2.     </w:t>
      </w:r>
      <w:r>
        <w:rPr>
          <w:color w:val="000000"/>
        </w:rPr>
        <w:tab/>
        <w:t>Washington, DC</w:t>
      </w:r>
      <w:r>
        <w:rPr>
          <w:color w:val="000000"/>
        </w:rPr>
        <w:tab/>
      </w:r>
      <w:r>
        <w:rPr>
          <w:color w:val="000000"/>
        </w:rPr>
        <w:tab/>
        <w:t>83.3</w:t>
      </w:r>
    </w:p>
    <w:p w14:paraId="4BB71471" w14:textId="77777777" w:rsidR="007F6706" w:rsidRDefault="007F6706" w:rsidP="007F6706">
      <w:pPr>
        <w:widowControl w:val="0"/>
        <w:tabs>
          <w:tab w:val="left" w:pos="1710"/>
          <w:tab w:val="left" w:pos="2520"/>
          <w:tab w:val="left" w:pos="4500"/>
        </w:tabs>
        <w:ind w:left="4410" w:hanging="2700"/>
        <w:rPr>
          <w:color w:val="000000"/>
        </w:rPr>
      </w:pPr>
      <w:r>
        <w:rPr>
          <w:color w:val="000000"/>
        </w:rPr>
        <w:t>3.       Saint Paul, MN</w:t>
      </w:r>
      <w:r>
        <w:rPr>
          <w:color w:val="000000"/>
        </w:rPr>
        <w:tab/>
      </w:r>
      <w:r>
        <w:rPr>
          <w:color w:val="000000"/>
        </w:rPr>
        <w:tab/>
        <w:t>82.5</w:t>
      </w:r>
    </w:p>
    <w:p w14:paraId="499803D3" w14:textId="77777777" w:rsidR="007F6706" w:rsidRDefault="007F6706" w:rsidP="007F6706">
      <w:pPr>
        <w:widowControl w:val="0"/>
        <w:tabs>
          <w:tab w:val="left" w:pos="1710"/>
          <w:tab w:val="left" w:pos="2520"/>
          <w:tab w:val="left" w:pos="4500"/>
        </w:tabs>
        <w:ind w:left="4410" w:hanging="2700"/>
        <w:rPr>
          <w:color w:val="000000"/>
        </w:rPr>
      </w:pPr>
      <w:r>
        <w:rPr>
          <w:color w:val="000000"/>
        </w:rPr>
        <w:t>4.       Arlington, VA        </w:t>
      </w:r>
      <w:r>
        <w:rPr>
          <w:color w:val="000000"/>
        </w:rPr>
        <w:tab/>
      </w:r>
      <w:r>
        <w:rPr>
          <w:color w:val="000000"/>
        </w:rPr>
        <w:tab/>
        <w:t>81.5</w:t>
      </w:r>
    </w:p>
    <w:p w14:paraId="67D78825" w14:textId="77777777" w:rsidR="007F6706" w:rsidRPr="00395527" w:rsidRDefault="007F6706" w:rsidP="007F6706">
      <w:pPr>
        <w:widowControl w:val="0"/>
        <w:tabs>
          <w:tab w:val="left" w:pos="1710"/>
          <w:tab w:val="left" w:pos="2340"/>
          <w:tab w:val="left" w:pos="2520"/>
          <w:tab w:val="left" w:pos="4500"/>
        </w:tabs>
        <w:ind w:left="4410" w:hanging="2700"/>
        <w:rPr>
          <w:color w:val="000000"/>
        </w:rPr>
      </w:pPr>
      <w:r>
        <w:rPr>
          <w:color w:val="000000"/>
        </w:rPr>
        <w:t>5.</w:t>
      </w:r>
      <w:r>
        <w:rPr>
          <w:color w:val="000000"/>
        </w:rPr>
        <w:tab/>
        <w:t>Cincinnati, OH</w:t>
      </w:r>
      <w:r>
        <w:rPr>
          <w:color w:val="000000"/>
        </w:rPr>
        <w:tab/>
      </w:r>
      <w:r>
        <w:rPr>
          <w:color w:val="000000"/>
        </w:rPr>
        <w:tab/>
        <w:t>80.6</w:t>
      </w:r>
    </w:p>
    <w:p w14:paraId="528EF31E" w14:textId="77777777" w:rsidR="007F6706" w:rsidRDefault="007F6706" w:rsidP="007F6706">
      <w:pPr>
        <w:widowControl w:val="0"/>
        <w:tabs>
          <w:tab w:val="left" w:pos="1710"/>
          <w:tab w:val="left" w:pos="2340"/>
          <w:tab w:val="left" w:pos="2520"/>
          <w:tab w:val="left" w:pos="4500"/>
        </w:tabs>
        <w:ind w:left="4410" w:hanging="2700"/>
        <w:rPr>
          <w:color w:val="000000"/>
        </w:rPr>
      </w:pPr>
      <w:r>
        <w:rPr>
          <w:color w:val="000000"/>
        </w:rPr>
        <w:t xml:space="preserve">6. </w:t>
      </w:r>
      <w:r>
        <w:rPr>
          <w:color w:val="000000"/>
        </w:rPr>
        <w:tab/>
        <w:t>Portland, OR</w:t>
      </w:r>
      <w:r>
        <w:rPr>
          <w:color w:val="000000"/>
        </w:rPr>
        <w:tab/>
      </w:r>
      <w:r>
        <w:rPr>
          <w:color w:val="000000"/>
        </w:rPr>
        <w:tab/>
        <w:t>79.8</w:t>
      </w:r>
    </w:p>
    <w:p w14:paraId="5111B385" w14:textId="77777777" w:rsidR="007F6706" w:rsidRDefault="007F6706" w:rsidP="007F6706">
      <w:pPr>
        <w:widowControl w:val="0"/>
        <w:tabs>
          <w:tab w:val="left" w:pos="1710"/>
          <w:tab w:val="left" w:pos="2520"/>
          <w:tab w:val="left" w:pos="4500"/>
        </w:tabs>
        <w:ind w:left="4410" w:hanging="2700"/>
        <w:rPr>
          <w:color w:val="000000"/>
        </w:rPr>
      </w:pPr>
      <w:r>
        <w:rPr>
          <w:color w:val="000000"/>
        </w:rPr>
        <w:t>7.       Irvine, CA</w:t>
      </w:r>
      <w:r>
        <w:rPr>
          <w:color w:val="000000"/>
        </w:rPr>
        <w:tab/>
      </w:r>
      <w:r>
        <w:rPr>
          <w:color w:val="000000"/>
        </w:rPr>
        <w:tab/>
        <w:t>79.6</w:t>
      </w:r>
    </w:p>
    <w:p w14:paraId="2F20C531" w14:textId="77777777" w:rsidR="007F6706" w:rsidRDefault="007F6706" w:rsidP="007F6706">
      <w:pPr>
        <w:widowControl w:val="0"/>
        <w:tabs>
          <w:tab w:val="left" w:pos="1710"/>
          <w:tab w:val="left" w:pos="2340"/>
          <w:tab w:val="left" w:pos="4500"/>
        </w:tabs>
        <w:ind w:left="4410" w:hanging="2700"/>
        <w:rPr>
          <w:color w:val="000000"/>
        </w:rPr>
      </w:pPr>
      <w:r>
        <w:rPr>
          <w:color w:val="000000"/>
        </w:rPr>
        <w:t>8.</w:t>
      </w:r>
      <w:r>
        <w:rPr>
          <w:color w:val="000000"/>
        </w:rPr>
        <w:tab/>
        <w:t>San Francisco, CA</w:t>
      </w:r>
      <w:r>
        <w:rPr>
          <w:color w:val="000000"/>
        </w:rPr>
        <w:tab/>
      </w:r>
      <w:r>
        <w:rPr>
          <w:color w:val="000000"/>
        </w:rPr>
        <w:tab/>
        <w:t>78.9</w:t>
      </w:r>
    </w:p>
    <w:p w14:paraId="1739B468" w14:textId="77777777" w:rsidR="007F6706" w:rsidRDefault="007F6706" w:rsidP="007F6706">
      <w:pPr>
        <w:widowControl w:val="0"/>
        <w:tabs>
          <w:tab w:val="left" w:pos="1710"/>
          <w:tab w:val="left" w:pos="2520"/>
          <w:tab w:val="left" w:pos="4500"/>
        </w:tabs>
        <w:ind w:left="4410" w:hanging="2700"/>
        <w:rPr>
          <w:b/>
          <w:color w:val="000000"/>
        </w:rPr>
      </w:pPr>
      <w:r>
        <w:rPr>
          <w:color w:val="000000"/>
        </w:rPr>
        <w:t>9.       Boston, MA</w:t>
      </w:r>
      <w:r>
        <w:rPr>
          <w:color w:val="000000"/>
        </w:rPr>
        <w:tab/>
      </w:r>
      <w:r>
        <w:rPr>
          <w:color w:val="000000"/>
        </w:rPr>
        <w:tab/>
        <w:t>76.5</w:t>
      </w:r>
    </w:p>
    <w:p w14:paraId="1BCAB7D3" w14:textId="77777777" w:rsidR="007F6706" w:rsidRDefault="007F6706" w:rsidP="007F6706">
      <w:pPr>
        <w:widowControl w:val="0"/>
        <w:tabs>
          <w:tab w:val="left" w:pos="1710"/>
          <w:tab w:val="left" w:pos="2340"/>
          <w:tab w:val="left" w:pos="2520"/>
          <w:tab w:val="left" w:pos="4500"/>
        </w:tabs>
        <w:ind w:left="4410" w:hanging="2700"/>
        <w:rPr>
          <w:color w:val="000000"/>
        </w:rPr>
      </w:pPr>
      <w:r>
        <w:rPr>
          <w:color w:val="000000"/>
        </w:rPr>
        <w:t>10.</w:t>
      </w:r>
      <w:r>
        <w:rPr>
          <w:color w:val="000000"/>
        </w:rPr>
        <w:tab/>
        <w:t>Chicago, IL</w:t>
      </w:r>
      <w:r>
        <w:rPr>
          <w:color w:val="000000"/>
        </w:rPr>
        <w:tab/>
      </w:r>
      <w:r>
        <w:rPr>
          <w:color w:val="000000"/>
        </w:rPr>
        <w:tab/>
        <w:t>76.0</w:t>
      </w:r>
    </w:p>
    <w:p w14:paraId="4AFADC6A" w14:textId="77777777" w:rsidR="007F6706" w:rsidRDefault="007F6706" w:rsidP="007F6706">
      <w:pPr>
        <w:widowControl w:val="0"/>
        <w:tabs>
          <w:tab w:val="left" w:pos="1710"/>
          <w:tab w:val="left" w:pos="2340"/>
          <w:tab w:val="left" w:pos="2520"/>
          <w:tab w:val="left" w:pos="4500"/>
        </w:tabs>
        <w:ind w:left="4410" w:hanging="2700"/>
        <w:rPr>
          <w:color w:val="000000"/>
        </w:rPr>
      </w:pPr>
    </w:p>
    <w:p w14:paraId="14E6A248" w14:textId="77777777" w:rsidR="007F6706" w:rsidRDefault="007F6706" w:rsidP="007F6706">
      <w:pPr>
        <w:widowControl w:val="0"/>
        <w:tabs>
          <w:tab w:val="left" w:pos="1710"/>
          <w:tab w:val="left" w:pos="2520"/>
          <w:tab w:val="left" w:pos="4500"/>
        </w:tabs>
        <w:ind w:left="90"/>
        <w:rPr>
          <w:color w:val="000000"/>
        </w:rPr>
      </w:pPr>
      <w:r>
        <w:rPr>
          <w:color w:val="000000"/>
        </w:rPr>
        <w:t>The lowest-ranking park systems are:</w:t>
      </w:r>
    </w:p>
    <w:p w14:paraId="6EEC5A7A" w14:textId="77777777" w:rsidR="007F6706" w:rsidRDefault="007F6706" w:rsidP="007F6706">
      <w:pPr>
        <w:widowControl w:val="0"/>
        <w:tabs>
          <w:tab w:val="left" w:pos="1710"/>
          <w:tab w:val="left" w:pos="2520"/>
          <w:tab w:val="left" w:pos="4500"/>
        </w:tabs>
        <w:rPr>
          <w:color w:val="000000"/>
        </w:rPr>
      </w:pPr>
    </w:p>
    <w:p w14:paraId="7C57EE9B" w14:textId="77777777" w:rsidR="007F6706" w:rsidRDefault="007F6706" w:rsidP="007F6706">
      <w:pPr>
        <w:widowControl w:val="0"/>
        <w:tabs>
          <w:tab w:val="left" w:pos="1710"/>
          <w:tab w:val="left" w:pos="2520"/>
          <w:tab w:val="left" w:pos="4500"/>
        </w:tabs>
        <w:ind w:left="4410" w:hanging="2700"/>
        <w:rPr>
          <w:color w:val="000000"/>
        </w:rPr>
      </w:pPr>
      <w:r>
        <w:rPr>
          <w:color w:val="000000"/>
        </w:rPr>
        <w:t>90.       Hialeah, FL</w:t>
      </w:r>
      <w:r>
        <w:rPr>
          <w:color w:val="000000"/>
        </w:rPr>
        <w:tab/>
        <w:t>33.1</w:t>
      </w:r>
    </w:p>
    <w:p w14:paraId="5469ACEA" w14:textId="77777777" w:rsidR="007F6706" w:rsidRDefault="007F6706" w:rsidP="007F6706">
      <w:pPr>
        <w:widowControl w:val="0"/>
        <w:tabs>
          <w:tab w:val="left" w:pos="1710"/>
          <w:tab w:val="left" w:pos="2430"/>
          <w:tab w:val="left" w:pos="2520"/>
          <w:tab w:val="left" w:pos="4500"/>
        </w:tabs>
        <w:ind w:left="4410" w:hanging="2700"/>
        <w:rPr>
          <w:color w:val="000000"/>
        </w:rPr>
      </w:pPr>
      <w:r>
        <w:rPr>
          <w:color w:val="000000"/>
        </w:rPr>
        <w:t>91.</w:t>
      </w:r>
      <w:r>
        <w:rPr>
          <w:color w:val="000000"/>
        </w:rPr>
        <w:tab/>
        <w:t>Baton Rouge, LA</w:t>
      </w:r>
      <w:r>
        <w:rPr>
          <w:color w:val="000000"/>
        </w:rPr>
        <w:tab/>
        <w:t>32.0</w:t>
      </w:r>
    </w:p>
    <w:p w14:paraId="751B698B" w14:textId="77777777" w:rsidR="007F6706" w:rsidRDefault="007F6706" w:rsidP="007F6706">
      <w:pPr>
        <w:widowControl w:val="0"/>
        <w:tabs>
          <w:tab w:val="left" w:pos="1710"/>
          <w:tab w:val="left" w:pos="2430"/>
          <w:tab w:val="left" w:pos="2520"/>
          <w:tab w:val="left" w:pos="4500"/>
        </w:tabs>
        <w:ind w:left="4410" w:hanging="2700"/>
        <w:rPr>
          <w:b/>
          <w:color w:val="000000"/>
        </w:rPr>
      </w:pPr>
      <w:r>
        <w:rPr>
          <w:color w:val="000000"/>
        </w:rPr>
        <w:t>92.</w:t>
      </w:r>
      <w:r>
        <w:rPr>
          <w:color w:val="000000"/>
        </w:rPr>
        <w:tab/>
        <w:t>Fresno, CA</w:t>
      </w:r>
      <w:r>
        <w:rPr>
          <w:color w:val="000000"/>
        </w:rPr>
        <w:tab/>
        <w:t>31.8</w:t>
      </w:r>
    </w:p>
    <w:p w14:paraId="37ACDFD9" w14:textId="77777777" w:rsidR="007F6706" w:rsidRDefault="007F6706" w:rsidP="007F6706">
      <w:pPr>
        <w:widowControl w:val="0"/>
        <w:tabs>
          <w:tab w:val="left" w:pos="1710"/>
          <w:tab w:val="left" w:pos="2430"/>
          <w:tab w:val="left" w:pos="2520"/>
          <w:tab w:val="left" w:pos="4500"/>
        </w:tabs>
        <w:ind w:left="4410" w:hanging="2700"/>
        <w:rPr>
          <w:b/>
          <w:color w:val="000000"/>
        </w:rPr>
      </w:pPr>
      <w:r>
        <w:rPr>
          <w:color w:val="000000"/>
        </w:rPr>
        <w:t>93.       Lubbock, TX</w:t>
      </w:r>
      <w:r>
        <w:rPr>
          <w:color w:val="000000"/>
        </w:rPr>
        <w:tab/>
        <w:t>31.6</w:t>
      </w:r>
    </w:p>
    <w:p w14:paraId="7E146677" w14:textId="77777777" w:rsidR="007F6706" w:rsidRDefault="007F6706" w:rsidP="007F6706">
      <w:pPr>
        <w:widowControl w:val="0"/>
        <w:tabs>
          <w:tab w:val="left" w:pos="1710"/>
          <w:tab w:val="left" w:pos="2430"/>
          <w:tab w:val="left" w:pos="2520"/>
          <w:tab w:val="left" w:pos="4500"/>
        </w:tabs>
        <w:ind w:left="4410" w:hanging="2700"/>
        <w:rPr>
          <w:color w:val="000000"/>
        </w:rPr>
      </w:pPr>
      <w:r>
        <w:rPr>
          <w:color w:val="000000"/>
        </w:rPr>
        <w:t>94.      </w:t>
      </w:r>
      <w:r>
        <w:rPr>
          <w:color w:val="000000"/>
        </w:rPr>
        <w:tab/>
        <w:t xml:space="preserve">Ft. Worth, TX </w:t>
      </w:r>
      <w:r>
        <w:rPr>
          <w:color w:val="000000"/>
        </w:rPr>
        <w:tab/>
        <w:t>31.2</w:t>
      </w:r>
    </w:p>
    <w:p w14:paraId="6FABCCE0" w14:textId="77777777" w:rsidR="007F6706" w:rsidRDefault="007F6706" w:rsidP="007F6706">
      <w:pPr>
        <w:widowControl w:val="0"/>
        <w:tabs>
          <w:tab w:val="left" w:pos="1710"/>
          <w:tab w:val="left" w:pos="2430"/>
          <w:tab w:val="left" w:pos="2520"/>
          <w:tab w:val="left" w:pos="4320"/>
          <w:tab w:val="left" w:pos="4500"/>
        </w:tabs>
        <w:ind w:left="4410" w:hanging="2700"/>
        <w:rPr>
          <w:color w:val="000000"/>
        </w:rPr>
      </w:pPr>
      <w:r>
        <w:rPr>
          <w:color w:val="000000"/>
        </w:rPr>
        <w:lastRenderedPageBreak/>
        <w:t>95.       Charlotte, NC</w:t>
      </w:r>
      <w:r>
        <w:rPr>
          <w:color w:val="000000"/>
        </w:rPr>
        <w:tab/>
      </w:r>
      <w:r>
        <w:rPr>
          <w:color w:val="000000"/>
        </w:rPr>
        <w:tab/>
        <w:t>29.8</w:t>
      </w:r>
    </w:p>
    <w:p w14:paraId="2CDFB213" w14:textId="77777777" w:rsidR="007F6706" w:rsidRDefault="007F6706" w:rsidP="007F6706">
      <w:pPr>
        <w:widowControl w:val="0"/>
        <w:tabs>
          <w:tab w:val="left" w:pos="1710"/>
          <w:tab w:val="left" w:pos="2520"/>
          <w:tab w:val="left" w:pos="4500"/>
        </w:tabs>
        <w:ind w:left="4410" w:hanging="2700"/>
        <w:rPr>
          <w:b/>
          <w:color w:val="000000"/>
        </w:rPr>
      </w:pPr>
      <w:r>
        <w:rPr>
          <w:color w:val="000000"/>
        </w:rPr>
        <w:t>96.       Mesa, AZ</w:t>
      </w:r>
      <w:r>
        <w:rPr>
          <w:color w:val="000000"/>
        </w:rPr>
        <w:tab/>
        <w:t>29.0</w:t>
      </w:r>
    </w:p>
    <w:p w14:paraId="1CBF50C1" w14:textId="77777777" w:rsidR="007F6706" w:rsidRDefault="007F6706" w:rsidP="007F6706">
      <w:pPr>
        <w:widowControl w:val="0"/>
        <w:tabs>
          <w:tab w:val="left" w:pos="1710"/>
          <w:tab w:val="left" w:pos="2520"/>
          <w:tab w:val="left" w:pos="4500"/>
        </w:tabs>
        <w:ind w:left="4410" w:hanging="2700"/>
        <w:rPr>
          <w:color w:val="000000"/>
        </w:rPr>
      </w:pPr>
      <w:r>
        <w:rPr>
          <w:color w:val="000000"/>
        </w:rPr>
        <w:t>97.       Oklahoma City</w:t>
      </w:r>
      <w:r>
        <w:rPr>
          <w:color w:val="000000"/>
        </w:rPr>
        <w:tab/>
        <w:t>23.8</w:t>
      </w:r>
    </w:p>
    <w:p w14:paraId="2C561D73" w14:textId="77777777" w:rsidR="00CE5AFE" w:rsidRDefault="00CE5AFE">
      <w:pPr>
        <w:widowControl w:val="0"/>
        <w:tabs>
          <w:tab w:val="left" w:pos="1710"/>
          <w:tab w:val="left" w:pos="2520"/>
          <w:tab w:val="left" w:pos="4500"/>
        </w:tabs>
        <w:rPr>
          <w:color w:val="000000"/>
        </w:rPr>
      </w:pPr>
    </w:p>
    <w:p w14:paraId="7EB48A15" w14:textId="0BA292C4" w:rsidR="00CE5AFE" w:rsidRDefault="00404E0A">
      <w:pPr>
        <w:widowControl w:val="0"/>
        <w:tabs>
          <w:tab w:val="left" w:pos="1710"/>
          <w:tab w:val="left" w:pos="2520"/>
          <w:tab w:val="left" w:pos="4500"/>
        </w:tabs>
        <w:rPr>
          <w:color w:val="000000"/>
        </w:rPr>
      </w:pPr>
      <w:r>
        <w:t>Fort Wayne, Ind., and Indianapolis, Ind., declined to participate in ParkScore 2020 and were not ranked. Gilbert, Ariz., was not ranked because the necessary data was unavailable.</w:t>
      </w:r>
    </w:p>
    <w:p w14:paraId="6F224881" w14:textId="77777777" w:rsidR="00CE5AFE" w:rsidRDefault="00CE5AFE">
      <w:pPr>
        <w:rPr>
          <w:color w:val="000000"/>
        </w:rPr>
      </w:pPr>
    </w:p>
    <w:p w14:paraId="114466E4" w14:textId="77777777" w:rsidR="00CE5AFE" w:rsidRDefault="00404E0A">
      <w:r>
        <w:rPr>
          <w:color w:val="000000"/>
        </w:rPr>
        <w:t xml:space="preserve">The ParkScore Index uses advanced GIS (Geographic Information Systems) computer mapping technology to create digital maps evaluating park accessibility. Instead of measuring distance to a local park, the rating system’s GIS technology considers the location of park entrances and physical obstacles to access. For example, if residents are separated from a nearby park by a major highway, the ParkScore Index does not count the park as accessible to those residents, unless there is a bridge, underpass, or easy access point across the highway. </w:t>
      </w:r>
      <w:r>
        <w:t>The Trust for Public Land collaborated with GIS industry leader Esri on GIS design and implementation.</w:t>
      </w:r>
    </w:p>
    <w:p w14:paraId="082BED35" w14:textId="77777777" w:rsidR="00CE5AFE" w:rsidRDefault="00CE5AFE">
      <w:pPr>
        <w:rPr>
          <w:color w:val="000000"/>
        </w:rPr>
      </w:pPr>
    </w:p>
    <w:p w14:paraId="1837BC75" w14:textId="77777777" w:rsidR="00CE5AFE" w:rsidRDefault="00404E0A">
      <w:pPr>
        <w:rPr>
          <w:color w:val="000000"/>
        </w:rPr>
      </w:pPr>
      <w:r>
        <w:rPr>
          <w:color w:val="000000"/>
        </w:rPr>
        <w:t xml:space="preserve">Municipal leaders use ParkScore information to guide park improvement efforts, studying park access on a block-by-block basis and pinpointing the areas where new parks are needed most. </w:t>
      </w:r>
      <w:r>
        <w:t xml:space="preserve">The ParkScore website, </w:t>
      </w:r>
      <w:hyperlink r:id="rId9">
        <w:r>
          <w:rPr>
            <w:color w:val="0000FF"/>
            <w:u w:val="single"/>
          </w:rPr>
          <w:t>www.tpl.org/parkscore</w:t>
        </w:r>
      </w:hyperlink>
      <w:r>
        <w:rPr>
          <w:color w:val="0000FF"/>
          <w:u w:val="single"/>
        </w:rPr>
        <w:t>,</w:t>
      </w:r>
      <w:r>
        <w:rPr>
          <w:color w:val="000000"/>
        </w:rPr>
        <w:t xml:space="preserve"> is free and available to the public, empowering residents to hold their elected leaders accountable for achieving equitable access to quality parks for all. </w:t>
      </w:r>
    </w:p>
    <w:p w14:paraId="2D45A2CE" w14:textId="77777777" w:rsidR="00CE5AFE" w:rsidRDefault="00CE5AFE">
      <w:pPr>
        <w:rPr>
          <w:color w:val="000000"/>
        </w:rPr>
      </w:pPr>
    </w:p>
    <w:p w14:paraId="63838B8E" w14:textId="77777777" w:rsidR="00CE5AFE" w:rsidRDefault="00CE5AFE">
      <w:pPr>
        <w:rPr>
          <w:color w:val="000000"/>
        </w:rPr>
      </w:pPr>
    </w:p>
    <w:p w14:paraId="488DB4CE" w14:textId="77777777" w:rsidR="00CE5AFE" w:rsidRDefault="00404E0A">
      <w:pPr>
        <w:rPr>
          <w:b/>
          <w:i/>
        </w:rPr>
      </w:pPr>
      <w:r>
        <w:rPr>
          <w:b/>
          <w:i/>
        </w:rPr>
        <w:t>About the Trust for Public Land</w:t>
      </w:r>
    </w:p>
    <w:p w14:paraId="7F5E2417" w14:textId="77777777" w:rsidR="00CE5AFE" w:rsidRDefault="00CE5AFE">
      <w:pPr>
        <w:rPr>
          <w:b/>
          <w:i/>
        </w:rPr>
      </w:pPr>
    </w:p>
    <w:p w14:paraId="599B7DB7" w14:textId="77777777" w:rsidR="00CE5AFE" w:rsidRDefault="00404E0A">
      <w:r>
        <w:t xml:space="preserve">The Trust for Public Land creates parks and protects land for people, ensuring healthy, livable communities for generations to come. Millions of people live within a 10-minute walk of a Trust for Public Land park, garden, or natural area, and millions more visit these sites every year. To support The Trust for Public Land and share why nature matters to you, visit </w:t>
      </w:r>
      <w:hyperlink r:id="rId10">
        <w:r>
          <w:rPr>
            <w:color w:val="1155CC"/>
            <w:u w:val="single"/>
          </w:rPr>
          <w:t>www.tpl.org</w:t>
        </w:r>
      </w:hyperlink>
      <w:r>
        <w:t>.</w:t>
      </w:r>
    </w:p>
    <w:p w14:paraId="3D32BCF5" w14:textId="77777777" w:rsidR="00CE5AFE" w:rsidRDefault="00CE5AFE"/>
    <w:p w14:paraId="5E87D6EC" w14:textId="77777777" w:rsidR="00CE5AFE" w:rsidRDefault="00404E0A">
      <w:pPr>
        <w:jc w:val="center"/>
      </w:pPr>
      <w:r>
        <w:t>###</w:t>
      </w:r>
    </w:p>
    <w:sectPr w:rsidR="00CE5A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FE"/>
    <w:rsid w:val="00021985"/>
    <w:rsid w:val="00027F6D"/>
    <w:rsid w:val="00030B95"/>
    <w:rsid w:val="0003320E"/>
    <w:rsid w:val="00034661"/>
    <w:rsid w:val="0003685C"/>
    <w:rsid w:val="00045AA9"/>
    <w:rsid w:val="0006058D"/>
    <w:rsid w:val="00063268"/>
    <w:rsid w:val="00067941"/>
    <w:rsid w:val="00070047"/>
    <w:rsid w:val="000A3FD7"/>
    <w:rsid w:val="000A5D77"/>
    <w:rsid w:val="000C7606"/>
    <w:rsid w:val="000D376B"/>
    <w:rsid w:val="000D524A"/>
    <w:rsid w:val="00102768"/>
    <w:rsid w:val="00103355"/>
    <w:rsid w:val="00115FFA"/>
    <w:rsid w:val="0012075B"/>
    <w:rsid w:val="00124484"/>
    <w:rsid w:val="001274B4"/>
    <w:rsid w:val="00133FB1"/>
    <w:rsid w:val="00140DF7"/>
    <w:rsid w:val="001474F2"/>
    <w:rsid w:val="00151A63"/>
    <w:rsid w:val="0015798E"/>
    <w:rsid w:val="0016069A"/>
    <w:rsid w:val="00177A9A"/>
    <w:rsid w:val="001827CA"/>
    <w:rsid w:val="001852FB"/>
    <w:rsid w:val="0018566A"/>
    <w:rsid w:val="001B15BA"/>
    <w:rsid w:val="001C58AF"/>
    <w:rsid w:val="001C79CE"/>
    <w:rsid w:val="001D100E"/>
    <w:rsid w:val="001D11B9"/>
    <w:rsid w:val="001D66AC"/>
    <w:rsid w:val="001E1B3E"/>
    <w:rsid w:val="001F0E6A"/>
    <w:rsid w:val="001F35E0"/>
    <w:rsid w:val="001F7450"/>
    <w:rsid w:val="002125A5"/>
    <w:rsid w:val="002130A4"/>
    <w:rsid w:val="00232B2A"/>
    <w:rsid w:val="00235E3E"/>
    <w:rsid w:val="00244DC9"/>
    <w:rsid w:val="00252FC4"/>
    <w:rsid w:val="002739A7"/>
    <w:rsid w:val="002740D0"/>
    <w:rsid w:val="0027701F"/>
    <w:rsid w:val="0028166D"/>
    <w:rsid w:val="00291E1C"/>
    <w:rsid w:val="00294A7F"/>
    <w:rsid w:val="002B3A01"/>
    <w:rsid w:val="002B418E"/>
    <w:rsid w:val="002C21F6"/>
    <w:rsid w:val="002C22AF"/>
    <w:rsid w:val="002C754E"/>
    <w:rsid w:val="00300112"/>
    <w:rsid w:val="0030322D"/>
    <w:rsid w:val="003100EE"/>
    <w:rsid w:val="003162D8"/>
    <w:rsid w:val="00320397"/>
    <w:rsid w:val="003407E2"/>
    <w:rsid w:val="003448B6"/>
    <w:rsid w:val="00346A76"/>
    <w:rsid w:val="00350070"/>
    <w:rsid w:val="003636CC"/>
    <w:rsid w:val="00366FEC"/>
    <w:rsid w:val="00370880"/>
    <w:rsid w:val="003748BA"/>
    <w:rsid w:val="00381099"/>
    <w:rsid w:val="0039248C"/>
    <w:rsid w:val="003D0470"/>
    <w:rsid w:val="003E3D5A"/>
    <w:rsid w:val="003F2326"/>
    <w:rsid w:val="003F3947"/>
    <w:rsid w:val="003F5AEC"/>
    <w:rsid w:val="00404E0A"/>
    <w:rsid w:val="004372ED"/>
    <w:rsid w:val="0045391B"/>
    <w:rsid w:val="00453A24"/>
    <w:rsid w:val="00466C33"/>
    <w:rsid w:val="00475D31"/>
    <w:rsid w:val="00497655"/>
    <w:rsid w:val="004A5480"/>
    <w:rsid w:val="004E379F"/>
    <w:rsid w:val="004F0C2F"/>
    <w:rsid w:val="005027C2"/>
    <w:rsid w:val="00504EBC"/>
    <w:rsid w:val="00514D63"/>
    <w:rsid w:val="00521BE0"/>
    <w:rsid w:val="00524B87"/>
    <w:rsid w:val="00532BD9"/>
    <w:rsid w:val="00541812"/>
    <w:rsid w:val="00582DFB"/>
    <w:rsid w:val="0058399B"/>
    <w:rsid w:val="005919C6"/>
    <w:rsid w:val="005A09CC"/>
    <w:rsid w:val="005A3805"/>
    <w:rsid w:val="005B4656"/>
    <w:rsid w:val="005C2E03"/>
    <w:rsid w:val="005E5A1A"/>
    <w:rsid w:val="005F166A"/>
    <w:rsid w:val="005F58A7"/>
    <w:rsid w:val="005F7CAE"/>
    <w:rsid w:val="00600E7C"/>
    <w:rsid w:val="00601BD4"/>
    <w:rsid w:val="00630D51"/>
    <w:rsid w:val="00632B44"/>
    <w:rsid w:val="00640C20"/>
    <w:rsid w:val="006413C3"/>
    <w:rsid w:val="0064765E"/>
    <w:rsid w:val="0068620B"/>
    <w:rsid w:val="0068657E"/>
    <w:rsid w:val="00693DB9"/>
    <w:rsid w:val="006B28F7"/>
    <w:rsid w:val="006B49B1"/>
    <w:rsid w:val="006C1DCB"/>
    <w:rsid w:val="006E0AC7"/>
    <w:rsid w:val="006E2BB0"/>
    <w:rsid w:val="006F7909"/>
    <w:rsid w:val="007248C3"/>
    <w:rsid w:val="00743FEF"/>
    <w:rsid w:val="00756562"/>
    <w:rsid w:val="00756AC5"/>
    <w:rsid w:val="007672B3"/>
    <w:rsid w:val="00773B77"/>
    <w:rsid w:val="00776DF8"/>
    <w:rsid w:val="007801CF"/>
    <w:rsid w:val="0078352F"/>
    <w:rsid w:val="00793F92"/>
    <w:rsid w:val="00794947"/>
    <w:rsid w:val="007A05DC"/>
    <w:rsid w:val="007B1D5B"/>
    <w:rsid w:val="007C1E01"/>
    <w:rsid w:val="007C7755"/>
    <w:rsid w:val="007D1026"/>
    <w:rsid w:val="007E49D0"/>
    <w:rsid w:val="007E74C7"/>
    <w:rsid w:val="007F2D13"/>
    <w:rsid w:val="007F6037"/>
    <w:rsid w:val="007F6706"/>
    <w:rsid w:val="00810F92"/>
    <w:rsid w:val="00811938"/>
    <w:rsid w:val="00837AED"/>
    <w:rsid w:val="00847839"/>
    <w:rsid w:val="008511F7"/>
    <w:rsid w:val="008612F4"/>
    <w:rsid w:val="00867D18"/>
    <w:rsid w:val="00881801"/>
    <w:rsid w:val="00883740"/>
    <w:rsid w:val="00885A49"/>
    <w:rsid w:val="00886411"/>
    <w:rsid w:val="008A29F4"/>
    <w:rsid w:val="008A415E"/>
    <w:rsid w:val="008C590C"/>
    <w:rsid w:val="008C72DC"/>
    <w:rsid w:val="008C7C3A"/>
    <w:rsid w:val="008E4F2F"/>
    <w:rsid w:val="008F67A2"/>
    <w:rsid w:val="009068FA"/>
    <w:rsid w:val="00913937"/>
    <w:rsid w:val="00913998"/>
    <w:rsid w:val="00920041"/>
    <w:rsid w:val="00926CC3"/>
    <w:rsid w:val="00930B07"/>
    <w:rsid w:val="009317F0"/>
    <w:rsid w:val="009664DC"/>
    <w:rsid w:val="0097052A"/>
    <w:rsid w:val="0097492C"/>
    <w:rsid w:val="00974A7C"/>
    <w:rsid w:val="009763BE"/>
    <w:rsid w:val="00985C87"/>
    <w:rsid w:val="009A4599"/>
    <w:rsid w:val="009C4542"/>
    <w:rsid w:val="009C73F9"/>
    <w:rsid w:val="009E2E27"/>
    <w:rsid w:val="00A063AD"/>
    <w:rsid w:val="00A614A4"/>
    <w:rsid w:val="00A655F3"/>
    <w:rsid w:val="00A74472"/>
    <w:rsid w:val="00A7519B"/>
    <w:rsid w:val="00A87EE0"/>
    <w:rsid w:val="00A95C7D"/>
    <w:rsid w:val="00A969D0"/>
    <w:rsid w:val="00AA4555"/>
    <w:rsid w:val="00AA4C67"/>
    <w:rsid w:val="00AC4F72"/>
    <w:rsid w:val="00AE38FE"/>
    <w:rsid w:val="00AE6ADB"/>
    <w:rsid w:val="00AF0E53"/>
    <w:rsid w:val="00B07137"/>
    <w:rsid w:val="00B16B24"/>
    <w:rsid w:val="00B448DD"/>
    <w:rsid w:val="00B55A02"/>
    <w:rsid w:val="00B57453"/>
    <w:rsid w:val="00B62A25"/>
    <w:rsid w:val="00B730BF"/>
    <w:rsid w:val="00B805E2"/>
    <w:rsid w:val="00B86D5E"/>
    <w:rsid w:val="00B96FB1"/>
    <w:rsid w:val="00BB1864"/>
    <w:rsid w:val="00BD3D61"/>
    <w:rsid w:val="00BD43FC"/>
    <w:rsid w:val="00BD6434"/>
    <w:rsid w:val="00BE74B0"/>
    <w:rsid w:val="00BE7B41"/>
    <w:rsid w:val="00BF363B"/>
    <w:rsid w:val="00C12977"/>
    <w:rsid w:val="00C15B37"/>
    <w:rsid w:val="00C2658C"/>
    <w:rsid w:val="00C374B1"/>
    <w:rsid w:val="00C541AF"/>
    <w:rsid w:val="00C73F66"/>
    <w:rsid w:val="00C816A7"/>
    <w:rsid w:val="00C823AF"/>
    <w:rsid w:val="00C827B9"/>
    <w:rsid w:val="00C87C0F"/>
    <w:rsid w:val="00CA4E8C"/>
    <w:rsid w:val="00CB5DA2"/>
    <w:rsid w:val="00CC75F6"/>
    <w:rsid w:val="00CE46BF"/>
    <w:rsid w:val="00CE5AFE"/>
    <w:rsid w:val="00CF49EA"/>
    <w:rsid w:val="00D0321A"/>
    <w:rsid w:val="00D07150"/>
    <w:rsid w:val="00D10C4A"/>
    <w:rsid w:val="00D10CF5"/>
    <w:rsid w:val="00D45236"/>
    <w:rsid w:val="00D702B0"/>
    <w:rsid w:val="00D93984"/>
    <w:rsid w:val="00D95B9E"/>
    <w:rsid w:val="00DA6DBE"/>
    <w:rsid w:val="00DC4F65"/>
    <w:rsid w:val="00DC6981"/>
    <w:rsid w:val="00DE1350"/>
    <w:rsid w:val="00DE6D4B"/>
    <w:rsid w:val="00DE7775"/>
    <w:rsid w:val="00E0438F"/>
    <w:rsid w:val="00E155DB"/>
    <w:rsid w:val="00E44E1F"/>
    <w:rsid w:val="00E55AC7"/>
    <w:rsid w:val="00E5646A"/>
    <w:rsid w:val="00E616A8"/>
    <w:rsid w:val="00E64138"/>
    <w:rsid w:val="00E67763"/>
    <w:rsid w:val="00E7636C"/>
    <w:rsid w:val="00E7726F"/>
    <w:rsid w:val="00E83A24"/>
    <w:rsid w:val="00E93485"/>
    <w:rsid w:val="00E95431"/>
    <w:rsid w:val="00EA431D"/>
    <w:rsid w:val="00EB5DA0"/>
    <w:rsid w:val="00EC08C1"/>
    <w:rsid w:val="00ED6401"/>
    <w:rsid w:val="00EE6A08"/>
    <w:rsid w:val="00F0359F"/>
    <w:rsid w:val="00F05AB7"/>
    <w:rsid w:val="00F5501D"/>
    <w:rsid w:val="00F57300"/>
    <w:rsid w:val="00F62599"/>
    <w:rsid w:val="00F6370C"/>
    <w:rsid w:val="00F651D1"/>
    <w:rsid w:val="00F72848"/>
    <w:rsid w:val="00F834D9"/>
    <w:rsid w:val="00F85764"/>
    <w:rsid w:val="00F87ECC"/>
    <w:rsid w:val="00F95F20"/>
    <w:rsid w:val="00FB22E4"/>
    <w:rsid w:val="00FC4D45"/>
    <w:rsid w:val="00FE03FF"/>
    <w:rsid w:val="00FE38B3"/>
    <w:rsid w:val="00FF0838"/>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C333"/>
  <w15:docId w15:val="{B3B7DB42-5029-4FB1-B579-C2A5D29F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04E0A"/>
    <w:rPr>
      <w:sz w:val="18"/>
      <w:szCs w:val="18"/>
    </w:rPr>
  </w:style>
  <w:style w:type="character" w:customStyle="1" w:styleId="BalloonTextChar">
    <w:name w:val="Balloon Text Char"/>
    <w:basedOn w:val="DefaultParagraphFont"/>
    <w:link w:val="BalloonText"/>
    <w:uiPriority w:val="99"/>
    <w:semiHidden/>
    <w:rsid w:val="00404E0A"/>
    <w:rPr>
      <w:sz w:val="18"/>
      <w:szCs w:val="18"/>
    </w:rPr>
  </w:style>
  <w:style w:type="paragraph" w:styleId="CommentSubject">
    <w:name w:val="annotation subject"/>
    <w:basedOn w:val="CommentText"/>
    <w:next w:val="CommentText"/>
    <w:link w:val="CommentSubjectChar"/>
    <w:uiPriority w:val="99"/>
    <w:semiHidden/>
    <w:unhideWhenUsed/>
    <w:rsid w:val="00BD43FC"/>
    <w:rPr>
      <w:b/>
      <w:bCs/>
    </w:rPr>
  </w:style>
  <w:style w:type="character" w:customStyle="1" w:styleId="CommentSubjectChar">
    <w:name w:val="Comment Subject Char"/>
    <w:basedOn w:val="CommentTextChar"/>
    <w:link w:val="CommentSubject"/>
    <w:uiPriority w:val="99"/>
    <w:semiHidden/>
    <w:rsid w:val="00BD43FC"/>
    <w:rPr>
      <w:b/>
      <w:bCs/>
      <w:sz w:val="20"/>
      <w:szCs w:val="20"/>
    </w:rPr>
  </w:style>
  <w:style w:type="paragraph" w:styleId="NoSpacing">
    <w:name w:val="No Spacing"/>
    <w:uiPriority w:val="1"/>
    <w:qFormat/>
    <w:rsid w:val="00475D31"/>
    <w:rPr>
      <w:rFonts w:asciiTheme="minorHAnsi" w:eastAsiaTheme="minorHAnsi" w:hAnsiTheme="minorHAnsi" w:cstheme="minorBidi"/>
      <w:sz w:val="22"/>
      <w:szCs w:val="22"/>
    </w:rPr>
  </w:style>
  <w:style w:type="character" w:customStyle="1" w:styleId="normaltextrun">
    <w:name w:val="normaltextrun"/>
    <w:basedOn w:val="DefaultParagraphFont"/>
    <w:rsid w:val="00475D31"/>
  </w:style>
  <w:style w:type="table" w:styleId="TableGrid">
    <w:name w:val="Table Grid"/>
    <w:basedOn w:val="TableNormal"/>
    <w:uiPriority w:val="39"/>
    <w:rsid w:val="0037088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14D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952850">
      <w:bodyDiv w:val="1"/>
      <w:marLeft w:val="0"/>
      <w:marRight w:val="0"/>
      <w:marTop w:val="0"/>
      <w:marBottom w:val="0"/>
      <w:divBdr>
        <w:top w:val="none" w:sz="0" w:space="0" w:color="auto"/>
        <w:left w:val="none" w:sz="0" w:space="0" w:color="auto"/>
        <w:bottom w:val="none" w:sz="0" w:space="0" w:color="auto"/>
        <w:right w:val="none" w:sz="0" w:space="0" w:color="auto"/>
      </w:divBdr>
    </w:div>
    <w:div w:id="130346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pl.org" TargetMode="External"/><Relationship Id="rId4" Type="http://schemas.openxmlformats.org/officeDocument/2006/relationships/customXml" Target="../customXml/item4.xml"/><Relationship Id="rId9" Type="http://schemas.openxmlformats.org/officeDocument/2006/relationships/hyperlink" Target="http://www.tpl.org/parks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90FBC4CE20F4E8C63544EF80F6130" ma:contentTypeVersion="13" ma:contentTypeDescription="Create a new document." ma:contentTypeScope="" ma:versionID="263592fc2e9086eee42550dd48bf8882">
  <xsd:schema xmlns:xsd="http://www.w3.org/2001/XMLSchema" xmlns:xs="http://www.w3.org/2001/XMLSchema" xmlns:p="http://schemas.microsoft.com/office/2006/metadata/properties" xmlns:ns3="50f6cff0-6259-48ac-863a-4e7f8922258b" xmlns:ns4="30fae91d-1041-4529-8479-b2aa604d84a6" targetNamespace="http://schemas.microsoft.com/office/2006/metadata/properties" ma:root="true" ma:fieldsID="67505a4f1e6a09a08e2fc7b8025e4311" ns3:_="" ns4:_="">
    <xsd:import namespace="50f6cff0-6259-48ac-863a-4e7f8922258b"/>
    <xsd:import namespace="30fae91d-1041-4529-8479-b2aa604d84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6cff0-6259-48ac-863a-4e7f89222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ae91d-1041-4529-8479-b2aa604d84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60F3-6F1B-4286-995E-083EC5027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6cff0-6259-48ac-863a-4e7f8922258b"/>
    <ds:schemaRef ds:uri="30fae91d-1041-4529-8479-b2aa604d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14CD8-063C-4582-8B1F-DC80977F9945}">
  <ds:schemaRefs>
    <ds:schemaRef ds:uri="http://schemas.microsoft.com/sharepoint/v3/contenttype/forms"/>
  </ds:schemaRefs>
</ds:datastoreItem>
</file>

<file path=customXml/itemProps3.xml><?xml version="1.0" encoding="utf-8"?>
<ds:datastoreItem xmlns:ds="http://schemas.openxmlformats.org/officeDocument/2006/customXml" ds:itemID="{E565C0DD-23FE-4257-B44C-E1C8B21115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17B264-DB61-4D4C-AAE4-908E17D8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Peter Simek</cp:lastModifiedBy>
  <cp:revision>2</cp:revision>
  <cp:lastPrinted>2020-04-21T22:04:00Z</cp:lastPrinted>
  <dcterms:created xsi:type="dcterms:W3CDTF">2020-05-20T14:25:00Z</dcterms:created>
  <dcterms:modified xsi:type="dcterms:W3CDTF">2020-05-20T14:25:00Z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0x0101007F690FBC4CE20F4E8C63544EF80F6130</vt:lpwstr>
  </property>
</Properties>
</file>